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031" w:rsidRPr="00AE36CC" w:rsidRDefault="00DB1918" w:rsidP="00092BC3">
      <w:pPr>
        <w:pStyle w:val="Title"/>
        <w:pBdr>
          <w:bottom w:val="single" w:sz="4" w:space="4" w:color="auto"/>
        </w:pBdr>
        <w:jc w:val="center"/>
        <w:rPr>
          <w:b/>
          <w:color w:val="000000" w:themeColor="text1"/>
          <w:sz w:val="48"/>
        </w:rPr>
      </w:pPr>
      <w:bookmarkStart w:id="0" w:name="_GoBack"/>
      <w:bookmarkEnd w:id="0"/>
      <w:r w:rsidRPr="00AE36CC">
        <w:rPr>
          <w:b/>
          <w:color w:val="000000" w:themeColor="text1"/>
          <w:sz w:val="48"/>
        </w:rPr>
        <w:t>Scaling-Up 21st Century Skills Across States</w:t>
      </w:r>
    </w:p>
    <w:p w:rsidR="00DB1918" w:rsidRPr="00AE36CC" w:rsidRDefault="00DB1918" w:rsidP="00657B1B">
      <w:pPr>
        <w:pStyle w:val="Heading1"/>
        <w:spacing w:before="0"/>
        <w:rPr>
          <w:color w:val="000000" w:themeColor="text1"/>
        </w:rPr>
      </w:pPr>
      <w:r w:rsidRPr="00AE36CC">
        <w:rPr>
          <w:color w:val="000000" w:themeColor="text1"/>
        </w:rPr>
        <w:t>Presenters</w:t>
      </w:r>
    </w:p>
    <w:p w:rsidR="00657B1B" w:rsidRPr="00AE36CC" w:rsidRDefault="00DB1918" w:rsidP="00BA5895">
      <w:pPr>
        <w:pStyle w:val="Heading3"/>
        <w:numPr>
          <w:ilvl w:val="0"/>
          <w:numId w:val="7"/>
        </w:numPr>
        <w:spacing w:before="0" w:line="240" w:lineRule="auto"/>
        <w:ind w:left="360" w:hanging="180"/>
        <w:rPr>
          <w:rFonts w:asciiTheme="minorHAnsi" w:hAnsiTheme="minorHAnsi"/>
          <w:b w:val="0"/>
          <w:color w:val="auto"/>
          <w:sz w:val="24"/>
        </w:rPr>
      </w:pPr>
      <w:r w:rsidRPr="00AE36CC">
        <w:rPr>
          <w:rFonts w:asciiTheme="minorHAnsi" w:hAnsiTheme="minorHAnsi"/>
          <w:b w:val="0"/>
          <w:color w:val="auto"/>
          <w:sz w:val="24"/>
        </w:rPr>
        <w:t xml:space="preserve">Allison </w:t>
      </w:r>
      <w:r w:rsidR="00657B1B" w:rsidRPr="00AE36CC">
        <w:rPr>
          <w:rFonts w:asciiTheme="minorHAnsi" w:hAnsiTheme="minorHAnsi"/>
          <w:b w:val="0"/>
          <w:color w:val="auto"/>
          <w:sz w:val="24"/>
        </w:rPr>
        <w:t>Lombardi</w:t>
      </w:r>
      <w:r w:rsidRPr="00AE36CC">
        <w:rPr>
          <w:rFonts w:asciiTheme="minorHAnsi" w:hAnsiTheme="minorHAnsi"/>
          <w:b w:val="0"/>
          <w:color w:val="auto"/>
          <w:sz w:val="24"/>
        </w:rPr>
        <w:t>, Ph.D., University of Connecticut Neag School of Education</w:t>
      </w:r>
      <w:r w:rsidR="00B96A67" w:rsidRPr="00AE36CC">
        <w:rPr>
          <w:rFonts w:asciiTheme="minorHAnsi" w:hAnsiTheme="minorHAnsi"/>
          <w:b w:val="0"/>
          <w:color w:val="auto"/>
          <w:sz w:val="24"/>
        </w:rPr>
        <w:t xml:space="preserve">, </w:t>
      </w:r>
      <w:hyperlink r:id="rId9" w:history="1">
        <w:r w:rsidR="00B96A67" w:rsidRPr="00AE36CC">
          <w:rPr>
            <w:rStyle w:val="Hyperlink"/>
            <w:rFonts w:asciiTheme="minorHAnsi" w:hAnsiTheme="minorHAnsi"/>
            <w:b w:val="0"/>
            <w:color w:val="auto"/>
            <w:sz w:val="24"/>
          </w:rPr>
          <w:t>allison.lombardi@uconn.edu</w:t>
        </w:r>
      </w:hyperlink>
    </w:p>
    <w:p w:rsidR="00657B1B" w:rsidRPr="00AE36CC" w:rsidRDefault="00DB1918" w:rsidP="00BA5895">
      <w:pPr>
        <w:pStyle w:val="Heading3"/>
        <w:numPr>
          <w:ilvl w:val="0"/>
          <w:numId w:val="7"/>
        </w:numPr>
        <w:spacing w:before="0" w:line="240" w:lineRule="auto"/>
        <w:ind w:left="360" w:hanging="180"/>
        <w:rPr>
          <w:rFonts w:asciiTheme="minorHAnsi" w:hAnsiTheme="minorHAnsi"/>
          <w:b w:val="0"/>
          <w:color w:val="auto"/>
          <w:sz w:val="24"/>
        </w:rPr>
      </w:pPr>
      <w:r w:rsidRPr="00AE36CC">
        <w:rPr>
          <w:rFonts w:asciiTheme="minorHAnsi" w:hAnsiTheme="minorHAnsi"/>
          <w:b w:val="0"/>
          <w:color w:val="auto"/>
          <w:sz w:val="24"/>
        </w:rPr>
        <w:t>Margo Izzo, Ph.D., The Ohio State University Nisonger Center</w:t>
      </w:r>
      <w:r w:rsidR="00B96A67" w:rsidRPr="00AE36CC">
        <w:rPr>
          <w:rFonts w:asciiTheme="minorHAnsi" w:hAnsiTheme="minorHAnsi"/>
          <w:b w:val="0"/>
          <w:color w:val="auto"/>
          <w:sz w:val="24"/>
        </w:rPr>
        <w:t xml:space="preserve">, </w:t>
      </w:r>
      <w:hyperlink r:id="rId10" w:history="1">
        <w:r w:rsidR="00B96A67" w:rsidRPr="00AE36CC">
          <w:rPr>
            <w:rStyle w:val="Hyperlink"/>
            <w:rFonts w:asciiTheme="minorHAnsi" w:hAnsiTheme="minorHAnsi"/>
            <w:b w:val="0"/>
            <w:color w:val="auto"/>
            <w:sz w:val="24"/>
          </w:rPr>
          <w:t>margo.izzo@osumc.edu</w:t>
        </w:r>
      </w:hyperlink>
      <w:r w:rsidR="00B96A67" w:rsidRPr="00AE36CC">
        <w:rPr>
          <w:rFonts w:asciiTheme="minorHAnsi" w:hAnsiTheme="minorHAnsi"/>
          <w:b w:val="0"/>
          <w:color w:val="auto"/>
          <w:sz w:val="24"/>
        </w:rPr>
        <w:t xml:space="preserve"> </w:t>
      </w:r>
      <w:r w:rsidRPr="00AE36CC">
        <w:rPr>
          <w:rFonts w:asciiTheme="minorHAnsi" w:hAnsiTheme="minorHAnsi"/>
          <w:b w:val="0"/>
          <w:color w:val="auto"/>
          <w:sz w:val="24"/>
        </w:rPr>
        <w:t xml:space="preserve"> </w:t>
      </w:r>
    </w:p>
    <w:p w:rsidR="00F12169" w:rsidRPr="00657B1B" w:rsidRDefault="00DB1918" w:rsidP="00BA5895">
      <w:pPr>
        <w:pStyle w:val="Heading3"/>
        <w:numPr>
          <w:ilvl w:val="0"/>
          <w:numId w:val="7"/>
        </w:numPr>
        <w:spacing w:before="0" w:line="240" w:lineRule="auto"/>
        <w:ind w:left="360" w:hanging="180"/>
        <w:rPr>
          <w:rFonts w:asciiTheme="minorHAnsi" w:hAnsiTheme="minorHAnsi"/>
          <w:b w:val="0"/>
          <w:color w:val="auto"/>
        </w:rPr>
      </w:pPr>
      <w:r w:rsidRPr="00AE36CC">
        <w:rPr>
          <w:rFonts w:asciiTheme="minorHAnsi" w:hAnsiTheme="minorHAnsi"/>
          <w:b w:val="0"/>
          <w:color w:val="auto"/>
          <w:sz w:val="24"/>
        </w:rPr>
        <w:t>Andrew Buck, M.A., The Ohio State University Nisonger Center</w:t>
      </w:r>
      <w:r w:rsidR="00B96A67" w:rsidRPr="00AE36CC">
        <w:rPr>
          <w:rFonts w:asciiTheme="minorHAnsi" w:hAnsiTheme="minorHAnsi"/>
          <w:b w:val="0"/>
          <w:color w:val="auto"/>
          <w:sz w:val="24"/>
        </w:rPr>
        <w:t xml:space="preserve">, </w:t>
      </w:r>
      <w:hyperlink r:id="rId11" w:history="1">
        <w:r w:rsidR="00B96A67" w:rsidRPr="00AE36CC">
          <w:rPr>
            <w:rStyle w:val="Hyperlink"/>
            <w:rFonts w:asciiTheme="minorHAnsi" w:hAnsiTheme="minorHAnsi"/>
            <w:b w:val="0"/>
            <w:color w:val="auto"/>
            <w:sz w:val="24"/>
          </w:rPr>
          <w:t>andrew.buck@osumc.edu</w:t>
        </w:r>
      </w:hyperlink>
      <w:r w:rsidR="00B96A67" w:rsidRPr="00657B1B">
        <w:rPr>
          <w:rFonts w:asciiTheme="minorHAnsi" w:hAnsiTheme="minorHAnsi"/>
          <w:b w:val="0"/>
          <w:color w:val="auto"/>
        </w:rPr>
        <w:t xml:space="preserve"> </w:t>
      </w:r>
    </w:p>
    <w:p w:rsidR="00657B1B" w:rsidRDefault="00657B1B" w:rsidP="00750382">
      <w:pPr>
        <w:spacing w:after="0"/>
        <w:rPr>
          <w:sz w:val="20"/>
        </w:rPr>
      </w:pPr>
    </w:p>
    <w:p w:rsidR="00750382" w:rsidRPr="00750382" w:rsidRDefault="00750382" w:rsidP="00750382">
      <w:pPr>
        <w:spacing w:after="0"/>
        <w:rPr>
          <w:sz w:val="20"/>
        </w:rPr>
      </w:pPr>
    </w:p>
    <w:p w:rsidR="00EA78B5" w:rsidRPr="00AE36CC" w:rsidRDefault="00DB1918" w:rsidP="00657B1B">
      <w:pPr>
        <w:pStyle w:val="Heading1"/>
        <w:spacing w:before="0"/>
        <w:rPr>
          <w:color w:val="auto"/>
          <w:sz w:val="20"/>
        </w:rPr>
      </w:pPr>
      <w:r w:rsidRPr="00AE36CC">
        <w:rPr>
          <w:color w:val="auto"/>
        </w:rPr>
        <w:t>Scale-Up</w:t>
      </w:r>
      <w:r w:rsidR="00F12169" w:rsidRPr="00AE36CC">
        <w:rPr>
          <w:color w:val="auto"/>
        </w:rPr>
        <w:t xml:space="preserve"> Partners </w:t>
      </w:r>
      <w:r w:rsidR="00E761BE">
        <w:rPr>
          <w:color w:val="auto"/>
        </w:rPr>
        <w:t>&amp;</w:t>
      </w:r>
      <w:r w:rsidR="00F12169" w:rsidRPr="00AE36CC">
        <w:rPr>
          <w:color w:val="auto"/>
        </w:rPr>
        <w:t xml:space="preserve"> Policies </w:t>
      </w:r>
    </w:p>
    <w:p w:rsidR="00EA78B5" w:rsidRPr="00EA78B5" w:rsidRDefault="00EA78B5" w:rsidP="00EA78B5"/>
    <w:tbl>
      <w:tblPr>
        <w:tblStyle w:val="MediumShading1-Accent1"/>
        <w:tblpPr w:leftFromText="180" w:rightFromText="180" w:vertAnchor="text" w:horzAnchor="page" w:tblpX="4813" w:tblpY="-21"/>
        <w:tblW w:w="0" w:type="auto"/>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3258"/>
        <w:gridCol w:w="3600"/>
      </w:tblGrid>
      <w:tr w:rsidR="0096490C" w:rsidTr="006E14F6">
        <w:trPr>
          <w:cnfStyle w:val="100000000000" w:firstRow="1" w:lastRow="0" w:firstColumn="0" w:lastColumn="0" w:oddVBand="0" w:evenVBand="0" w:oddHBand="0" w:evenHBand="0" w:firstRowFirstColumn="0" w:firstRowLastColumn="0" w:lastRowFirstColumn="0" w:lastRowLastColumn="0"/>
          <w:trHeight w:val="282"/>
          <w:tblHeader/>
        </w:trPr>
        <w:tc>
          <w:tcPr>
            <w:cnfStyle w:val="001000000000" w:firstRow="0" w:lastRow="0" w:firstColumn="1" w:lastColumn="0" w:oddVBand="0" w:evenVBand="0" w:oddHBand="0" w:evenHBand="0" w:firstRowFirstColumn="0" w:firstRowLastColumn="0" w:lastRowFirstColumn="0" w:lastRowLastColumn="0"/>
            <w:tcW w:w="3258" w:type="dxa"/>
            <w:tcBorders>
              <w:top w:val="threeDEmboss" w:sz="18" w:space="0" w:color="95B3D7" w:themeColor="accent1" w:themeTint="99"/>
              <w:left w:val="nil"/>
              <w:bottom w:val="threeDEmboss" w:sz="48" w:space="0" w:color="95B3D7" w:themeColor="accent1" w:themeTint="99"/>
            </w:tcBorders>
            <w:shd w:val="clear" w:color="auto" w:fill="DBE5F1" w:themeFill="accent1" w:themeFillTint="33"/>
            <w:vAlign w:val="bottom"/>
          </w:tcPr>
          <w:p w:rsidR="00EA78B5" w:rsidRPr="000901DE" w:rsidRDefault="00EA78B5" w:rsidP="00E57111">
            <w:pPr>
              <w:spacing w:line="276" w:lineRule="auto"/>
              <w:jc w:val="center"/>
              <w:rPr>
                <w:color w:val="000000" w:themeColor="text1"/>
                <w:sz w:val="28"/>
              </w:rPr>
            </w:pPr>
            <w:r w:rsidRPr="00AE36CC">
              <w:rPr>
                <w:color w:val="000000" w:themeColor="text1"/>
                <w:sz w:val="28"/>
              </w:rPr>
              <w:t>O</w:t>
            </w:r>
            <w:r w:rsidR="00AE36CC" w:rsidRPr="00AE36CC">
              <w:rPr>
                <w:color w:val="000000" w:themeColor="text1"/>
                <w:sz w:val="28"/>
              </w:rPr>
              <w:t>hio</w:t>
            </w:r>
          </w:p>
        </w:tc>
        <w:tc>
          <w:tcPr>
            <w:tcW w:w="3600" w:type="dxa"/>
            <w:tcBorders>
              <w:top w:val="threeDEmboss" w:sz="18" w:space="0" w:color="95B3D7" w:themeColor="accent1" w:themeTint="99"/>
              <w:bottom w:val="threeDEmboss" w:sz="48" w:space="0" w:color="95B3D7" w:themeColor="accent1" w:themeTint="99"/>
              <w:right w:val="nil"/>
            </w:tcBorders>
            <w:shd w:val="clear" w:color="auto" w:fill="DBE5F1" w:themeFill="accent1" w:themeFillTint="33"/>
            <w:vAlign w:val="center"/>
          </w:tcPr>
          <w:p w:rsidR="00EA78B5" w:rsidRPr="000901DE" w:rsidRDefault="00EA78B5" w:rsidP="00AE36CC">
            <w:pPr>
              <w:jc w:val="center"/>
              <w:cnfStyle w:val="100000000000" w:firstRow="1" w:lastRow="0" w:firstColumn="0" w:lastColumn="0" w:oddVBand="0" w:evenVBand="0" w:oddHBand="0" w:evenHBand="0" w:firstRowFirstColumn="0" w:firstRowLastColumn="0" w:lastRowFirstColumn="0" w:lastRowLastColumn="0"/>
              <w:rPr>
                <w:color w:val="000000" w:themeColor="text1"/>
                <w:sz w:val="28"/>
              </w:rPr>
            </w:pPr>
            <w:r w:rsidRPr="00AE36CC">
              <w:rPr>
                <w:color w:val="000000" w:themeColor="text1"/>
                <w:sz w:val="28"/>
              </w:rPr>
              <w:t>Connecticut</w:t>
            </w:r>
          </w:p>
        </w:tc>
      </w:tr>
      <w:tr w:rsidR="00F12169" w:rsidTr="006E14F6">
        <w:trPr>
          <w:cnfStyle w:val="000000100000" w:firstRow="0" w:lastRow="0" w:firstColumn="0" w:lastColumn="0" w:oddVBand="0" w:evenVBand="0" w:oddHBand="1"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3258" w:type="dxa"/>
            <w:tcBorders>
              <w:top w:val="threeDEmboss" w:sz="48" w:space="0" w:color="95B3D7" w:themeColor="accent1" w:themeTint="99"/>
              <w:bottom w:val="threeDEmboss" w:sz="48" w:space="0" w:color="C2D69B" w:themeColor="accent3" w:themeTint="99"/>
            </w:tcBorders>
            <w:shd w:val="clear" w:color="auto" w:fill="DBE5F1" w:themeFill="accent1" w:themeFillTint="33"/>
            <w:vAlign w:val="center"/>
          </w:tcPr>
          <w:p w:rsidR="00EA78B5" w:rsidRPr="00E57111" w:rsidRDefault="00D25A17" w:rsidP="00D25A17">
            <w:pPr>
              <w:pStyle w:val="ListParagraph"/>
              <w:numPr>
                <w:ilvl w:val="0"/>
                <w:numId w:val="8"/>
              </w:numPr>
              <w:rPr>
                <w:b w:val="0"/>
                <w:szCs w:val="21"/>
              </w:rPr>
            </w:pPr>
            <w:r w:rsidRPr="00E57111">
              <w:rPr>
                <w:b w:val="0"/>
                <w:szCs w:val="21"/>
              </w:rPr>
              <w:t>Public and</w:t>
            </w:r>
            <w:r w:rsidR="00EA78B5" w:rsidRPr="00E57111">
              <w:rPr>
                <w:b w:val="0"/>
                <w:szCs w:val="21"/>
              </w:rPr>
              <w:t xml:space="preserve"> Charter Schools</w:t>
            </w:r>
          </w:p>
          <w:p w:rsidR="00EA78B5" w:rsidRPr="00E57111" w:rsidRDefault="00EA78B5" w:rsidP="00D25A17">
            <w:pPr>
              <w:pStyle w:val="ListParagraph"/>
              <w:numPr>
                <w:ilvl w:val="1"/>
                <w:numId w:val="3"/>
              </w:numPr>
              <w:rPr>
                <w:b w:val="0"/>
                <w:szCs w:val="21"/>
              </w:rPr>
            </w:pPr>
            <w:r w:rsidRPr="00E57111">
              <w:rPr>
                <w:b w:val="0"/>
                <w:szCs w:val="21"/>
              </w:rPr>
              <w:t>Inclusive Classrooms</w:t>
            </w:r>
          </w:p>
          <w:p w:rsidR="00EA78B5" w:rsidRPr="00AE36CC" w:rsidRDefault="00EA78B5" w:rsidP="00D25A17">
            <w:pPr>
              <w:pStyle w:val="ListParagraph"/>
              <w:numPr>
                <w:ilvl w:val="0"/>
                <w:numId w:val="3"/>
              </w:numPr>
              <w:rPr>
                <w:b w:val="0"/>
                <w:szCs w:val="21"/>
              </w:rPr>
            </w:pPr>
            <w:r w:rsidRPr="00E57111">
              <w:rPr>
                <w:b w:val="0"/>
                <w:szCs w:val="21"/>
              </w:rPr>
              <w:t>Autism Service Provider</w:t>
            </w:r>
          </w:p>
        </w:tc>
        <w:tc>
          <w:tcPr>
            <w:tcW w:w="3600" w:type="dxa"/>
            <w:tcBorders>
              <w:top w:val="threeDEmboss" w:sz="48" w:space="0" w:color="95B3D7" w:themeColor="accent1" w:themeTint="99"/>
              <w:bottom w:val="threeDEmboss" w:sz="48" w:space="0" w:color="C2D69B" w:themeColor="accent3" w:themeTint="99"/>
              <w:right w:val="nil"/>
            </w:tcBorders>
            <w:shd w:val="clear" w:color="auto" w:fill="DBE5F1" w:themeFill="accent1" w:themeFillTint="33"/>
            <w:vAlign w:val="center"/>
          </w:tcPr>
          <w:p w:rsidR="00EA78B5" w:rsidRPr="00AE36CC" w:rsidRDefault="00EA78B5" w:rsidP="00D25A17">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Cs w:val="21"/>
              </w:rPr>
            </w:pPr>
            <w:r w:rsidRPr="00AE36CC">
              <w:rPr>
                <w:szCs w:val="21"/>
              </w:rPr>
              <w:t>Public Schools</w:t>
            </w:r>
          </w:p>
          <w:p w:rsidR="00EA78B5" w:rsidRPr="00AE36CC" w:rsidRDefault="00EA78B5" w:rsidP="00D25A17">
            <w:pPr>
              <w:pStyle w:val="ListParagraph"/>
              <w:numPr>
                <w:ilvl w:val="1"/>
                <w:numId w:val="3"/>
              </w:numPr>
              <w:cnfStyle w:val="000000100000" w:firstRow="0" w:lastRow="0" w:firstColumn="0" w:lastColumn="0" w:oddVBand="0" w:evenVBand="0" w:oddHBand="1" w:evenHBand="0" w:firstRowFirstColumn="0" w:firstRowLastColumn="0" w:lastRowFirstColumn="0" w:lastRowLastColumn="0"/>
              <w:rPr>
                <w:szCs w:val="21"/>
              </w:rPr>
            </w:pPr>
            <w:r w:rsidRPr="00AE36CC">
              <w:rPr>
                <w:szCs w:val="21"/>
              </w:rPr>
              <w:t>General and Special Education Classrooms</w:t>
            </w:r>
          </w:p>
        </w:tc>
      </w:tr>
      <w:tr w:rsidR="00EA78B5" w:rsidTr="006E14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top w:val="threeDEmboss" w:sz="48" w:space="0" w:color="C2D69B" w:themeColor="accent3" w:themeTint="99"/>
              <w:bottom w:val="threeDEmboss" w:sz="48" w:space="0" w:color="FABF8F" w:themeColor="accent6" w:themeTint="99"/>
            </w:tcBorders>
            <w:shd w:val="clear" w:color="auto" w:fill="EAF1DD" w:themeFill="accent3" w:themeFillTint="33"/>
          </w:tcPr>
          <w:p w:rsidR="0096490C" w:rsidRPr="00AE36CC" w:rsidRDefault="0096490C" w:rsidP="001E655D">
            <w:pPr>
              <w:rPr>
                <w:b w:val="0"/>
                <w:szCs w:val="21"/>
              </w:rPr>
            </w:pPr>
          </w:p>
          <w:p w:rsidR="00EA78B5" w:rsidRPr="00AE36CC" w:rsidRDefault="00EA78B5" w:rsidP="001E655D">
            <w:pPr>
              <w:pStyle w:val="ListParagraph"/>
              <w:numPr>
                <w:ilvl w:val="0"/>
                <w:numId w:val="3"/>
              </w:numPr>
              <w:rPr>
                <w:b w:val="0"/>
                <w:szCs w:val="21"/>
              </w:rPr>
            </w:pPr>
            <w:r w:rsidRPr="00AE36CC">
              <w:rPr>
                <w:b w:val="0"/>
                <w:szCs w:val="21"/>
              </w:rPr>
              <w:t xml:space="preserve">The Ohio State University Nisonger Center </w:t>
            </w:r>
          </w:p>
          <w:p w:rsidR="00EA78B5" w:rsidRPr="00AE36CC" w:rsidRDefault="00EA78B5" w:rsidP="001E655D">
            <w:pPr>
              <w:rPr>
                <w:b w:val="0"/>
                <w:szCs w:val="21"/>
              </w:rPr>
            </w:pPr>
          </w:p>
        </w:tc>
        <w:tc>
          <w:tcPr>
            <w:tcW w:w="3600" w:type="dxa"/>
            <w:tcBorders>
              <w:top w:val="threeDEmboss" w:sz="48" w:space="0" w:color="C2D69B" w:themeColor="accent3" w:themeTint="99"/>
              <w:bottom w:val="threeDEmboss" w:sz="48" w:space="0" w:color="FABF8F" w:themeColor="accent6" w:themeTint="99"/>
              <w:right w:val="nil"/>
            </w:tcBorders>
            <w:shd w:val="clear" w:color="auto" w:fill="EAF1DD" w:themeFill="accent3" w:themeFillTint="33"/>
          </w:tcPr>
          <w:p w:rsidR="0096490C" w:rsidRPr="00AE36CC" w:rsidRDefault="0096490C" w:rsidP="001E655D">
            <w:pPr>
              <w:cnfStyle w:val="000000010000" w:firstRow="0" w:lastRow="0" w:firstColumn="0" w:lastColumn="0" w:oddVBand="0" w:evenVBand="0" w:oddHBand="0" w:evenHBand="1" w:firstRowFirstColumn="0" w:firstRowLastColumn="0" w:lastRowFirstColumn="0" w:lastRowLastColumn="0"/>
              <w:rPr>
                <w:szCs w:val="21"/>
              </w:rPr>
            </w:pPr>
          </w:p>
          <w:p w:rsidR="00EA78B5" w:rsidRPr="00AE36CC" w:rsidRDefault="00EA78B5" w:rsidP="001E655D">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Cs w:val="21"/>
              </w:rPr>
            </w:pPr>
            <w:r w:rsidRPr="00AE36CC">
              <w:rPr>
                <w:szCs w:val="21"/>
              </w:rPr>
              <w:t xml:space="preserve">University of Connecticut     </w:t>
            </w:r>
            <w:r w:rsidR="00F12169" w:rsidRPr="00AE36CC">
              <w:rPr>
                <w:szCs w:val="21"/>
              </w:rPr>
              <w:t xml:space="preserve">     </w:t>
            </w:r>
            <w:r w:rsidR="000901DE" w:rsidRPr="00AE36CC">
              <w:rPr>
                <w:szCs w:val="21"/>
              </w:rPr>
              <w:t xml:space="preserve"> </w:t>
            </w:r>
            <w:r w:rsidRPr="00AE36CC">
              <w:rPr>
                <w:szCs w:val="21"/>
              </w:rPr>
              <w:t xml:space="preserve">Neag School of Education </w:t>
            </w:r>
          </w:p>
        </w:tc>
      </w:tr>
      <w:tr w:rsidR="00FA1361" w:rsidTr="006E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top w:val="threeDEmboss" w:sz="48" w:space="0" w:color="FABF8F" w:themeColor="accent6" w:themeTint="99"/>
              <w:bottom w:val="threeDEmboss" w:sz="48" w:space="0" w:color="D99594" w:themeColor="accent2" w:themeTint="99"/>
            </w:tcBorders>
            <w:shd w:val="clear" w:color="auto" w:fill="FDE9D9" w:themeFill="accent6" w:themeFillTint="33"/>
            <w:vAlign w:val="center"/>
          </w:tcPr>
          <w:p w:rsidR="00227798" w:rsidRPr="00AE36CC" w:rsidRDefault="00227798" w:rsidP="001E655D">
            <w:pPr>
              <w:pStyle w:val="ListParagraph"/>
              <w:ind w:left="540"/>
              <w:rPr>
                <w:b w:val="0"/>
                <w:sz w:val="21"/>
                <w:szCs w:val="21"/>
              </w:rPr>
            </w:pPr>
          </w:p>
          <w:p w:rsidR="00EA78B5" w:rsidRPr="00AE36CC" w:rsidRDefault="00EA78B5" w:rsidP="001E655D">
            <w:pPr>
              <w:pStyle w:val="ListParagraph"/>
              <w:numPr>
                <w:ilvl w:val="0"/>
                <w:numId w:val="3"/>
              </w:numPr>
              <w:rPr>
                <w:b w:val="0"/>
                <w:sz w:val="21"/>
                <w:szCs w:val="21"/>
              </w:rPr>
            </w:pPr>
            <w:r w:rsidRPr="00AE36CC">
              <w:rPr>
                <w:b w:val="0"/>
                <w:sz w:val="21"/>
                <w:szCs w:val="21"/>
              </w:rPr>
              <w:t>Department of Education    Office for Exceptional Children</w:t>
            </w:r>
          </w:p>
          <w:p w:rsidR="00EA78B5" w:rsidRPr="00AE36CC" w:rsidRDefault="00EA78B5" w:rsidP="001E655D">
            <w:pPr>
              <w:pStyle w:val="ListParagraph"/>
              <w:numPr>
                <w:ilvl w:val="0"/>
                <w:numId w:val="3"/>
              </w:numPr>
              <w:rPr>
                <w:b w:val="0"/>
                <w:sz w:val="21"/>
                <w:szCs w:val="21"/>
              </w:rPr>
            </w:pPr>
            <w:r w:rsidRPr="00AE36CC">
              <w:rPr>
                <w:b w:val="0"/>
                <w:sz w:val="21"/>
                <w:szCs w:val="21"/>
              </w:rPr>
              <w:t xml:space="preserve">Career Advising Policy </w:t>
            </w:r>
          </w:p>
          <w:p w:rsidR="00EA78B5" w:rsidRPr="00AE36CC" w:rsidRDefault="00EA78B5" w:rsidP="001E655D">
            <w:pPr>
              <w:pStyle w:val="ListParagraph"/>
              <w:numPr>
                <w:ilvl w:val="0"/>
                <w:numId w:val="3"/>
              </w:numPr>
              <w:rPr>
                <w:b w:val="0"/>
                <w:sz w:val="21"/>
                <w:szCs w:val="21"/>
              </w:rPr>
            </w:pPr>
            <w:r w:rsidRPr="00AE36CC">
              <w:rPr>
                <w:b w:val="0"/>
                <w:sz w:val="21"/>
                <w:szCs w:val="21"/>
              </w:rPr>
              <w:t xml:space="preserve">Ohio Means Jobs </w:t>
            </w:r>
            <w:r w:rsidR="002B37E0" w:rsidRPr="00AE36CC">
              <w:rPr>
                <w:b w:val="0"/>
                <w:sz w:val="21"/>
                <w:szCs w:val="21"/>
              </w:rPr>
              <w:t>(omj.ohio.gov)</w:t>
            </w:r>
          </w:p>
          <w:p w:rsidR="00EA78B5" w:rsidRPr="00AE36CC" w:rsidRDefault="00EA78B5" w:rsidP="001E655D">
            <w:pPr>
              <w:pStyle w:val="ListParagraph"/>
              <w:numPr>
                <w:ilvl w:val="0"/>
                <w:numId w:val="3"/>
              </w:numPr>
              <w:rPr>
                <w:b w:val="0"/>
                <w:sz w:val="21"/>
                <w:szCs w:val="21"/>
              </w:rPr>
            </w:pPr>
            <w:r w:rsidRPr="00AE36CC">
              <w:rPr>
                <w:b w:val="0"/>
                <w:sz w:val="21"/>
                <w:szCs w:val="21"/>
              </w:rPr>
              <w:t>State Support Teams</w:t>
            </w:r>
          </w:p>
          <w:p w:rsidR="00EA78B5" w:rsidRPr="00AE36CC" w:rsidRDefault="00EA78B5" w:rsidP="001E655D">
            <w:pPr>
              <w:pStyle w:val="ListParagraph"/>
              <w:ind w:left="540"/>
              <w:rPr>
                <w:b w:val="0"/>
                <w:sz w:val="21"/>
                <w:szCs w:val="21"/>
              </w:rPr>
            </w:pPr>
          </w:p>
        </w:tc>
        <w:tc>
          <w:tcPr>
            <w:tcW w:w="3600" w:type="dxa"/>
            <w:tcBorders>
              <w:top w:val="threeDEmboss" w:sz="48" w:space="0" w:color="FABF8F" w:themeColor="accent6" w:themeTint="99"/>
              <w:bottom w:val="threeDEmboss" w:sz="48" w:space="0" w:color="D99594" w:themeColor="accent2" w:themeTint="99"/>
              <w:right w:val="nil"/>
            </w:tcBorders>
            <w:shd w:val="clear" w:color="auto" w:fill="FDE9D9" w:themeFill="accent6" w:themeFillTint="33"/>
            <w:vAlign w:val="center"/>
          </w:tcPr>
          <w:p w:rsidR="00EA78B5" w:rsidRPr="00AE36CC" w:rsidRDefault="002B37E0" w:rsidP="001E655D">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1"/>
                <w:szCs w:val="21"/>
              </w:rPr>
            </w:pPr>
            <w:r w:rsidRPr="00AE36CC">
              <w:rPr>
                <w:sz w:val="21"/>
                <w:szCs w:val="21"/>
              </w:rPr>
              <w:t xml:space="preserve">Department of Education </w:t>
            </w:r>
            <w:r w:rsidR="00227798" w:rsidRPr="00AE36CC">
              <w:rPr>
                <w:sz w:val="21"/>
                <w:szCs w:val="21"/>
              </w:rPr>
              <w:t xml:space="preserve">             </w:t>
            </w:r>
            <w:r w:rsidRPr="00AE36CC">
              <w:rPr>
                <w:sz w:val="21"/>
                <w:szCs w:val="21"/>
              </w:rPr>
              <w:t>Bureau of Special Education</w:t>
            </w:r>
          </w:p>
          <w:p w:rsidR="002B37E0" w:rsidRPr="00AE36CC" w:rsidRDefault="00F12169" w:rsidP="001E655D">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1"/>
                <w:szCs w:val="21"/>
              </w:rPr>
            </w:pPr>
            <w:r w:rsidRPr="00AE36CC">
              <w:rPr>
                <w:sz w:val="21"/>
                <w:szCs w:val="21"/>
              </w:rPr>
              <w:t>Student Success Plans</w:t>
            </w:r>
          </w:p>
          <w:p w:rsidR="00F12169" w:rsidRPr="00AE36CC" w:rsidRDefault="00F12169" w:rsidP="001E655D">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1"/>
                <w:szCs w:val="21"/>
              </w:rPr>
            </w:pPr>
            <w:r w:rsidRPr="00AE36CC">
              <w:rPr>
                <w:sz w:val="21"/>
                <w:szCs w:val="21"/>
              </w:rPr>
              <w:t>Jobs Made Real (jobsmadereal.com)</w:t>
            </w:r>
          </w:p>
          <w:p w:rsidR="00F12169" w:rsidRPr="00AE36CC" w:rsidRDefault="00F12169" w:rsidP="001E655D">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1"/>
                <w:szCs w:val="21"/>
              </w:rPr>
            </w:pPr>
            <w:r w:rsidRPr="00AE36CC">
              <w:rPr>
                <w:sz w:val="21"/>
                <w:szCs w:val="21"/>
              </w:rPr>
              <w:t>Connecticut Core</w:t>
            </w:r>
          </w:p>
        </w:tc>
      </w:tr>
      <w:tr w:rsidR="00227798" w:rsidTr="006E14F6">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858" w:type="dxa"/>
            <w:gridSpan w:val="2"/>
            <w:tcBorders>
              <w:top w:val="threeDEmboss" w:sz="48" w:space="0" w:color="D99594" w:themeColor="accent2" w:themeTint="99"/>
              <w:bottom w:val="threeDEngrave" w:sz="18" w:space="0" w:color="D99594" w:themeColor="accent2" w:themeTint="99"/>
              <w:right w:val="nil"/>
            </w:tcBorders>
            <w:shd w:val="clear" w:color="auto" w:fill="F2DBDB" w:themeFill="accent2" w:themeFillTint="33"/>
            <w:vAlign w:val="center"/>
          </w:tcPr>
          <w:p w:rsidR="00227798" w:rsidRPr="00227798" w:rsidRDefault="00227798" w:rsidP="001E655D">
            <w:pPr>
              <w:rPr>
                <w:sz w:val="16"/>
              </w:rPr>
            </w:pPr>
          </w:p>
          <w:p w:rsidR="0096490C" w:rsidRPr="00AE36CC" w:rsidRDefault="00EA78B5" w:rsidP="001E655D">
            <w:pPr>
              <w:pStyle w:val="ListParagraph"/>
              <w:numPr>
                <w:ilvl w:val="0"/>
                <w:numId w:val="3"/>
              </w:numPr>
              <w:rPr>
                <w:b w:val="0"/>
              </w:rPr>
            </w:pPr>
            <w:r w:rsidRPr="00AE36CC">
              <w:rPr>
                <w:b w:val="0"/>
              </w:rPr>
              <w:t>Office of Special Education Programs</w:t>
            </w:r>
            <w:r w:rsidR="002B37E0" w:rsidRPr="00AE36CC">
              <w:rPr>
                <w:b w:val="0"/>
              </w:rPr>
              <w:t>, I</w:t>
            </w:r>
            <w:r w:rsidR="00F12169" w:rsidRPr="00AE36CC">
              <w:rPr>
                <w:b w:val="0"/>
              </w:rPr>
              <w:t>DEA</w:t>
            </w:r>
            <w:r w:rsidR="002B37E0" w:rsidRPr="00AE36CC">
              <w:rPr>
                <w:b w:val="0"/>
              </w:rPr>
              <w:t>s that Work</w:t>
            </w:r>
          </w:p>
          <w:p w:rsidR="00EA78B5" w:rsidRPr="00AE36CC" w:rsidRDefault="00EA78B5" w:rsidP="001E655D">
            <w:pPr>
              <w:pStyle w:val="ListParagraph"/>
              <w:numPr>
                <w:ilvl w:val="0"/>
                <w:numId w:val="3"/>
              </w:numPr>
              <w:rPr>
                <w:b w:val="0"/>
              </w:rPr>
            </w:pPr>
            <w:r w:rsidRPr="00AE36CC">
              <w:rPr>
                <w:b w:val="0"/>
              </w:rPr>
              <w:t>Every Student Succeeds Act</w:t>
            </w:r>
            <w:r w:rsidR="00F12169" w:rsidRPr="00AE36CC">
              <w:rPr>
                <w:b w:val="0"/>
              </w:rPr>
              <w:t xml:space="preserve"> (2015)</w:t>
            </w:r>
          </w:p>
          <w:p w:rsidR="00EA78B5" w:rsidRPr="00AE36CC" w:rsidRDefault="002B37E0" w:rsidP="001E655D">
            <w:pPr>
              <w:pStyle w:val="ListParagraph"/>
              <w:numPr>
                <w:ilvl w:val="0"/>
                <w:numId w:val="3"/>
              </w:numPr>
            </w:pPr>
            <w:r w:rsidRPr="00AE36CC">
              <w:rPr>
                <w:b w:val="0"/>
              </w:rPr>
              <w:t>Common Core State Standards</w:t>
            </w:r>
          </w:p>
          <w:p w:rsidR="00227798" w:rsidRPr="00227798" w:rsidRDefault="00227798" w:rsidP="001E655D">
            <w:pPr>
              <w:rPr>
                <w:sz w:val="10"/>
              </w:rPr>
            </w:pPr>
          </w:p>
        </w:tc>
      </w:tr>
    </w:tbl>
    <w:p w:rsidR="00E63A87" w:rsidRPr="00E63A87" w:rsidRDefault="00A86E2B" w:rsidP="00E63A87">
      <w:pPr>
        <w:pStyle w:val="Heading2"/>
      </w:pPr>
      <w:r>
        <w:rPr>
          <w:noProof/>
        </w:rPr>
        <w:drawing>
          <wp:anchor distT="0" distB="0" distL="114300" distR="114300" simplePos="0" relativeHeight="251658240" behindDoc="1" locked="0" layoutInCell="1" allowOverlap="1" wp14:anchorId="46AFB4E7" wp14:editId="5DBBCC8C">
            <wp:simplePos x="0" y="0"/>
            <wp:positionH relativeFrom="column">
              <wp:posOffset>-377190</wp:posOffset>
            </wp:positionH>
            <wp:positionV relativeFrom="paragraph">
              <wp:posOffset>24765</wp:posOffset>
            </wp:positionV>
            <wp:extent cx="3581400" cy="3048000"/>
            <wp:effectExtent l="0" t="101600" r="25400" b="10160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E63A87">
        <w:t xml:space="preserve">              </w:t>
      </w:r>
      <w:r w:rsidR="008566B2">
        <w:t xml:space="preserve">      </w:t>
      </w:r>
      <w:r w:rsidR="00662A14">
        <w:t xml:space="preserve">   </w:t>
      </w:r>
      <w:r w:rsidR="001B78FF">
        <w:t xml:space="preserve">  </w:t>
      </w:r>
      <w:r w:rsidR="001B78FF" w:rsidRPr="00662A14">
        <w:rPr>
          <w:sz w:val="18"/>
        </w:rPr>
        <w:t xml:space="preserve">       </w:t>
      </w:r>
      <w:r w:rsidR="001B78FF">
        <w:t xml:space="preserve">                                                     </w:t>
      </w:r>
      <w:r w:rsidR="00E63A87">
        <w:t xml:space="preserve">               </w:t>
      </w:r>
    </w:p>
    <w:p w:rsidR="00E63A87" w:rsidRPr="00E63A87" w:rsidRDefault="00E63A87" w:rsidP="00E63A87"/>
    <w:p w:rsidR="00855ED0" w:rsidRDefault="00855ED0" w:rsidP="00855ED0">
      <w:pPr>
        <w:jc w:val="center"/>
        <w:rPr>
          <w:noProof/>
        </w:rPr>
      </w:pPr>
    </w:p>
    <w:p w:rsidR="00855ED0" w:rsidRDefault="00855ED0" w:rsidP="001B78FF">
      <w:pPr>
        <w:rPr>
          <w:noProof/>
        </w:rPr>
      </w:pPr>
    </w:p>
    <w:p w:rsidR="00855ED0" w:rsidRDefault="00855ED0" w:rsidP="001B78FF">
      <w:pPr>
        <w:rPr>
          <w:noProof/>
        </w:rPr>
      </w:pPr>
    </w:p>
    <w:p w:rsidR="00855ED0" w:rsidRDefault="00855ED0" w:rsidP="001B78FF">
      <w:pPr>
        <w:rPr>
          <w:noProof/>
        </w:rPr>
      </w:pPr>
    </w:p>
    <w:p w:rsidR="00855ED0" w:rsidRDefault="00855ED0" w:rsidP="001B78FF">
      <w:pPr>
        <w:rPr>
          <w:noProof/>
        </w:rPr>
      </w:pPr>
    </w:p>
    <w:p w:rsidR="00855ED0" w:rsidRDefault="00855ED0" w:rsidP="001B78FF">
      <w:pPr>
        <w:rPr>
          <w:noProof/>
        </w:rPr>
      </w:pPr>
    </w:p>
    <w:p w:rsidR="00510A28" w:rsidRDefault="00EA78B5" w:rsidP="001B78FF">
      <w:pPr>
        <w:rPr>
          <w:noProof/>
        </w:rPr>
      </w:pPr>
      <w:r>
        <w:rPr>
          <w:noProof/>
        </w:rPr>
        <w:t xml:space="preserve">         </w:t>
      </w:r>
    </w:p>
    <w:p w:rsidR="00227798" w:rsidRDefault="00227798" w:rsidP="00227798">
      <w:pPr>
        <w:spacing w:after="0" w:line="240" w:lineRule="auto"/>
        <w:ind w:right="-450"/>
        <w:rPr>
          <w:noProof/>
        </w:rPr>
      </w:pPr>
    </w:p>
    <w:p w:rsidR="00657B1B" w:rsidRDefault="00657B1B" w:rsidP="00227798">
      <w:pPr>
        <w:spacing w:after="0" w:line="240" w:lineRule="auto"/>
        <w:ind w:right="-450"/>
        <w:rPr>
          <w:noProof/>
        </w:rPr>
      </w:pPr>
    </w:p>
    <w:p w:rsidR="00657B1B" w:rsidRDefault="00657B1B" w:rsidP="00227798">
      <w:pPr>
        <w:spacing w:after="0" w:line="240" w:lineRule="auto"/>
        <w:ind w:right="-450"/>
        <w:rPr>
          <w:noProof/>
        </w:rPr>
      </w:pPr>
    </w:p>
    <w:p w:rsidR="00657B1B" w:rsidRDefault="00657B1B" w:rsidP="00227798">
      <w:pPr>
        <w:spacing w:after="0" w:line="240" w:lineRule="auto"/>
        <w:ind w:right="-450"/>
        <w:rPr>
          <w:noProof/>
        </w:rPr>
      </w:pPr>
    </w:p>
    <w:p w:rsidR="00657B1B" w:rsidRDefault="00657B1B" w:rsidP="00227798">
      <w:pPr>
        <w:spacing w:after="0" w:line="240" w:lineRule="auto"/>
        <w:ind w:right="-450"/>
        <w:rPr>
          <w:noProof/>
        </w:rPr>
      </w:pPr>
    </w:p>
    <w:p w:rsidR="00657B1B" w:rsidRDefault="00657B1B" w:rsidP="00227798">
      <w:pPr>
        <w:spacing w:after="0" w:line="240" w:lineRule="auto"/>
        <w:ind w:right="-450"/>
        <w:rPr>
          <w:sz w:val="20"/>
        </w:rPr>
      </w:pPr>
    </w:p>
    <w:sdt>
      <w:sdtPr>
        <w:id w:val="-130878815"/>
        <w:docPartObj>
          <w:docPartGallery w:val="Page Numbers (Bottom of Page)"/>
          <w:docPartUnique/>
        </w:docPartObj>
      </w:sdtPr>
      <w:sdtEndPr>
        <w:rPr>
          <w:noProof/>
        </w:rPr>
      </w:sdtEndPr>
      <w:sdtContent>
        <w:p w:rsidR="00E57111" w:rsidRPr="00E57111" w:rsidRDefault="00E57111" w:rsidP="00750382">
          <w:pPr>
            <w:pStyle w:val="Footer"/>
            <w:tabs>
              <w:tab w:val="clear" w:pos="9360"/>
              <w:tab w:val="right" w:pos="9720"/>
            </w:tabs>
            <w:spacing w:before="240"/>
          </w:pPr>
        </w:p>
        <w:p w:rsidR="00E57111" w:rsidRPr="00AE36CC" w:rsidRDefault="00E57111" w:rsidP="00E57111">
          <w:pPr>
            <w:pStyle w:val="Heading1"/>
            <w:spacing w:before="0"/>
            <w:rPr>
              <w:noProof/>
              <w:color w:val="000000" w:themeColor="text1"/>
            </w:rPr>
          </w:pPr>
          <w:r w:rsidRPr="00AE36CC">
            <w:rPr>
              <w:noProof/>
              <w:color w:val="000000" w:themeColor="text1"/>
            </w:rPr>
            <w:t>Results (2010-2016)</w:t>
          </w:r>
        </w:p>
        <w:p w:rsidR="00E57111" w:rsidRPr="00AE36CC" w:rsidRDefault="00E57111" w:rsidP="00E57111">
          <w:pPr>
            <w:spacing w:after="0"/>
            <w:rPr>
              <w:sz w:val="24"/>
            </w:rPr>
          </w:pPr>
          <w:r w:rsidRPr="00AE36CC">
            <w:rPr>
              <w:sz w:val="24"/>
            </w:rPr>
            <w:t xml:space="preserve">The EnvisionIT curriculum has been shown to significantly increase the following for students: </w:t>
          </w:r>
        </w:p>
        <w:p w:rsidR="00E57111" w:rsidRPr="00AE36CC" w:rsidRDefault="00E57111" w:rsidP="00E57111">
          <w:pPr>
            <w:pStyle w:val="ListParagraph"/>
            <w:numPr>
              <w:ilvl w:val="0"/>
              <w:numId w:val="5"/>
            </w:numPr>
            <w:rPr>
              <w:sz w:val="24"/>
            </w:rPr>
          </w:pPr>
          <w:r w:rsidRPr="00AE36CC">
            <w:rPr>
              <w:sz w:val="24"/>
            </w:rPr>
            <w:t>Information Technology (IT) literacy</w:t>
          </w:r>
          <w:r w:rsidRPr="00AE36CC">
            <w:rPr>
              <w:rStyle w:val="FootnoteReference"/>
              <w:sz w:val="24"/>
            </w:rPr>
            <w:footnoteReference w:id="1"/>
          </w:r>
          <w:r w:rsidRPr="00AE36CC">
            <w:rPr>
              <w:sz w:val="24"/>
            </w:rPr>
            <w:t xml:space="preserve"> </w:t>
          </w:r>
          <w:r w:rsidRPr="00AE36CC">
            <w:rPr>
              <w:rStyle w:val="FootnoteReference"/>
              <w:sz w:val="24"/>
            </w:rPr>
            <w:footnoteReference w:id="2"/>
          </w:r>
        </w:p>
        <w:p w:rsidR="00E57111" w:rsidRPr="00AE36CC" w:rsidRDefault="00E57111" w:rsidP="00E57111">
          <w:pPr>
            <w:pStyle w:val="ListParagraph"/>
            <w:numPr>
              <w:ilvl w:val="0"/>
              <w:numId w:val="5"/>
            </w:numPr>
            <w:rPr>
              <w:sz w:val="24"/>
            </w:rPr>
          </w:pPr>
          <w:r w:rsidRPr="00AE36CC">
            <w:rPr>
              <w:sz w:val="24"/>
            </w:rPr>
            <w:t>College and Career Readiness skills</w:t>
          </w:r>
          <w:r w:rsidRPr="00AE36CC">
            <w:rPr>
              <w:rStyle w:val="FootnoteReference"/>
              <w:sz w:val="24"/>
            </w:rPr>
            <w:t>2</w:t>
          </w:r>
        </w:p>
        <w:p w:rsidR="00E57111" w:rsidRPr="00E57111" w:rsidRDefault="00E57111" w:rsidP="00E57111">
          <w:pPr>
            <w:pStyle w:val="ListParagraph"/>
            <w:numPr>
              <w:ilvl w:val="0"/>
              <w:numId w:val="5"/>
            </w:numPr>
            <w:spacing w:after="0"/>
            <w:rPr>
              <w:sz w:val="24"/>
            </w:rPr>
          </w:pPr>
          <w:r w:rsidRPr="00AE36CC">
            <w:rPr>
              <w:sz w:val="24"/>
            </w:rPr>
            <w:t>Reading</w:t>
          </w:r>
          <w:r w:rsidRPr="00AE36CC">
            <w:rPr>
              <w:rStyle w:val="FootnoteReference"/>
              <w:sz w:val="24"/>
            </w:rPr>
            <w:footnoteReference w:id="3"/>
          </w:r>
        </w:p>
        <w:p w:rsidR="00E57111" w:rsidRDefault="00E57111" w:rsidP="00750382">
          <w:pPr>
            <w:pStyle w:val="Footer"/>
            <w:tabs>
              <w:tab w:val="clear" w:pos="9360"/>
              <w:tab w:val="right" w:pos="9720"/>
            </w:tabs>
            <w:spacing w:before="240"/>
            <w:rPr>
              <w:rFonts w:asciiTheme="minorHAnsi" w:hAnsiTheme="minorHAnsi"/>
              <w:i/>
              <w:sz w:val="16"/>
              <w:szCs w:val="16"/>
            </w:rPr>
          </w:pPr>
        </w:p>
        <w:p w:rsidR="00750382" w:rsidRPr="00750382" w:rsidRDefault="00750382" w:rsidP="00750382">
          <w:pPr>
            <w:pStyle w:val="Footer"/>
            <w:tabs>
              <w:tab w:val="clear" w:pos="9360"/>
              <w:tab w:val="right" w:pos="9720"/>
            </w:tabs>
            <w:spacing w:before="240"/>
            <w:rPr>
              <w:rFonts w:asciiTheme="minorHAnsi" w:hAnsiTheme="minorHAnsi"/>
              <w:i/>
              <w:sz w:val="16"/>
              <w:szCs w:val="16"/>
            </w:rPr>
          </w:pPr>
          <w:r w:rsidRPr="00227798">
            <w:rPr>
              <w:rFonts w:asciiTheme="minorHAnsi" w:hAnsiTheme="minorHAnsi"/>
              <w:i/>
              <w:sz w:val="16"/>
              <w:szCs w:val="16"/>
            </w:rPr>
            <w:lastRenderedPageBreak/>
            <w:t>EnvisionIT (EIT) is a public domain product originally produced under USDOE OSEP Grant #H327S120022. Views expressed by EIT are not necessarily representative of the funder. For use or adaptation, please review the EIT Copyright/Reference Disclaimer</w:t>
          </w:r>
          <w:r>
            <w:rPr>
              <w:rFonts w:asciiTheme="minorHAnsi" w:hAnsiTheme="minorHAnsi"/>
              <w:i/>
              <w:sz w:val="16"/>
              <w:szCs w:val="16"/>
            </w:rPr>
            <w:t xml:space="preserve"> </w:t>
          </w:r>
          <w:r w:rsidRPr="00227798">
            <w:rPr>
              <w:rFonts w:asciiTheme="minorHAnsi" w:hAnsiTheme="minorHAnsi"/>
              <w:i/>
              <w:sz w:val="16"/>
              <w:szCs w:val="16"/>
            </w:rPr>
            <w:t>(http://go.osu.edu/eitdisclaimer).</w:t>
          </w:r>
        </w:p>
      </w:sdtContent>
    </w:sdt>
    <w:p w:rsidR="00B611B1" w:rsidRPr="00AF6498" w:rsidRDefault="00B611B1" w:rsidP="00B611B1">
      <w:pPr>
        <w:pStyle w:val="Heading2"/>
        <w:spacing w:before="0" w:after="240" w:line="240" w:lineRule="auto"/>
        <w:rPr>
          <w:noProof/>
          <w:color w:val="000000" w:themeColor="text1"/>
          <w:sz w:val="24"/>
          <w:szCs w:val="22"/>
        </w:rPr>
      </w:pPr>
      <w:r w:rsidRPr="00AF6498">
        <w:rPr>
          <w:color w:val="000000" w:themeColor="text1"/>
          <w:sz w:val="28"/>
        </w:rPr>
        <w:t>Alignment of EnvisionIT (EIT) Curriculum to Every Student Succeeds Act (ESSA)</w:t>
      </w:r>
    </w:p>
    <w:tbl>
      <w:tblPr>
        <w:tblStyle w:val="TableGrid"/>
        <w:tblW w:w="9630" w:type="dxa"/>
        <w:tblInd w:w="108" w:type="dxa"/>
        <w:tblLook w:val="04A0" w:firstRow="1" w:lastRow="0" w:firstColumn="1" w:lastColumn="0" w:noHBand="0" w:noVBand="1"/>
      </w:tblPr>
      <w:tblGrid>
        <w:gridCol w:w="3240"/>
        <w:gridCol w:w="6390"/>
      </w:tblGrid>
      <w:tr w:rsidR="00B611B1" w:rsidRPr="002C5AF0" w:rsidTr="00E44815">
        <w:trPr>
          <w:tblHeader/>
        </w:trPr>
        <w:tc>
          <w:tcPr>
            <w:tcW w:w="3240" w:type="dxa"/>
            <w:tcBorders>
              <w:bottom w:val="thinThickThinSmallGap" w:sz="24" w:space="0" w:color="auto"/>
            </w:tcBorders>
            <w:shd w:val="clear" w:color="auto" w:fill="E5B8B7" w:themeFill="accent2" w:themeFillTint="66"/>
            <w:vAlign w:val="center"/>
          </w:tcPr>
          <w:p w:rsidR="00B611B1" w:rsidRPr="00AF6498" w:rsidRDefault="00B611B1" w:rsidP="00E44815">
            <w:pPr>
              <w:autoSpaceDE w:val="0"/>
              <w:autoSpaceDN w:val="0"/>
              <w:jc w:val="center"/>
              <w:rPr>
                <w:b/>
                <w:szCs w:val="20"/>
              </w:rPr>
            </w:pPr>
            <w:r w:rsidRPr="00AF6498">
              <w:rPr>
                <w:b/>
                <w:szCs w:val="20"/>
              </w:rPr>
              <w:t>Every Student Succeeds Act (ESSA)</w:t>
            </w:r>
          </w:p>
          <w:p w:rsidR="00B611B1" w:rsidRPr="00AF6498" w:rsidRDefault="00B611B1" w:rsidP="00E44815">
            <w:pPr>
              <w:autoSpaceDE w:val="0"/>
              <w:autoSpaceDN w:val="0"/>
              <w:jc w:val="center"/>
              <w:rPr>
                <w:b/>
                <w:szCs w:val="20"/>
              </w:rPr>
            </w:pPr>
            <w:r w:rsidRPr="00AF6498">
              <w:rPr>
                <w:b/>
                <w:szCs w:val="20"/>
              </w:rPr>
              <w:t>21 U.S.C. 812(c)</w:t>
            </w:r>
          </w:p>
        </w:tc>
        <w:tc>
          <w:tcPr>
            <w:tcW w:w="6390" w:type="dxa"/>
            <w:tcBorders>
              <w:bottom w:val="thinThickThinSmallGap" w:sz="24" w:space="0" w:color="auto"/>
            </w:tcBorders>
            <w:shd w:val="clear" w:color="auto" w:fill="E5B8B7" w:themeFill="accent2" w:themeFillTint="66"/>
            <w:vAlign w:val="center"/>
          </w:tcPr>
          <w:p w:rsidR="00B611B1" w:rsidRPr="00AF6498" w:rsidRDefault="00B611B1" w:rsidP="00E44815">
            <w:pPr>
              <w:autoSpaceDE w:val="0"/>
              <w:autoSpaceDN w:val="0"/>
              <w:jc w:val="center"/>
              <w:rPr>
                <w:b/>
                <w:szCs w:val="20"/>
              </w:rPr>
            </w:pPr>
            <w:r w:rsidRPr="00AF6498">
              <w:rPr>
                <w:b/>
                <w:szCs w:val="20"/>
              </w:rPr>
              <w:t>EnvisionIT Tools and Practices</w:t>
            </w:r>
          </w:p>
        </w:tc>
      </w:tr>
      <w:tr w:rsidR="00B611B1" w:rsidRPr="002C5AF0" w:rsidTr="00E44815">
        <w:trPr>
          <w:trHeight w:val="791"/>
        </w:trPr>
        <w:tc>
          <w:tcPr>
            <w:tcW w:w="9630" w:type="dxa"/>
            <w:gridSpan w:val="2"/>
            <w:tcBorders>
              <w:top w:val="thinThickThinSmallGap" w:sz="24" w:space="0" w:color="auto"/>
            </w:tcBorders>
            <w:shd w:val="clear" w:color="auto" w:fill="F2DBDB" w:themeFill="accent2" w:themeFillTint="33"/>
            <w:vAlign w:val="center"/>
          </w:tcPr>
          <w:p w:rsidR="00B611B1" w:rsidRPr="00AF6498" w:rsidRDefault="00B611B1" w:rsidP="00E44815">
            <w:pPr>
              <w:autoSpaceDE w:val="0"/>
              <w:autoSpaceDN w:val="0"/>
              <w:rPr>
                <w:b/>
                <w:szCs w:val="20"/>
              </w:rPr>
            </w:pPr>
            <w:r w:rsidRPr="00AF6498">
              <w:rPr>
                <w:b/>
                <w:szCs w:val="20"/>
              </w:rPr>
              <w:t>‘‘(3) DIGITAL LEARNING</w:t>
            </w:r>
            <w:proofErr w:type="gramStart"/>
            <w:r w:rsidRPr="00AF6498">
              <w:rPr>
                <w:b/>
                <w:szCs w:val="20"/>
              </w:rPr>
              <w:t>.—</w:t>
            </w:r>
            <w:proofErr w:type="gramEnd"/>
            <w:r w:rsidRPr="00AF6498">
              <w:rPr>
                <w:b/>
                <w:szCs w:val="20"/>
              </w:rPr>
              <w:t>Refers to any instructional practice that effectively uses technology to strengthen a student’s learning experience and encompasses a wide spectrum of tools and practices, including —</w:t>
            </w:r>
          </w:p>
        </w:tc>
      </w:tr>
      <w:tr w:rsidR="00B611B1" w:rsidRPr="002C5AF0" w:rsidTr="00E44815">
        <w:trPr>
          <w:trHeight w:val="710"/>
        </w:trPr>
        <w:tc>
          <w:tcPr>
            <w:tcW w:w="3240" w:type="dxa"/>
            <w:tcBorders>
              <w:top w:val="thinThickThinSmallGap" w:sz="24" w:space="0" w:color="auto"/>
            </w:tcBorders>
            <w:shd w:val="clear" w:color="auto" w:fill="F2DBDB" w:themeFill="accent2" w:themeFillTint="33"/>
          </w:tcPr>
          <w:p w:rsidR="00B611B1" w:rsidRPr="00AF6498" w:rsidRDefault="00B611B1" w:rsidP="00E44815">
            <w:pPr>
              <w:autoSpaceDE w:val="0"/>
              <w:autoSpaceDN w:val="0"/>
              <w:rPr>
                <w:szCs w:val="20"/>
              </w:rPr>
            </w:pPr>
            <w:r w:rsidRPr="00AF6498">
              <w:rPr>
                <w:szCs w:val="20"/>
              </w:rPr>
              <w:t>‘‘</w:t>
            </w:r>
            <w:r w:rsidRPr="00AF6498">
              <w:rPr>
                <w:b/>
                <w:szCs w:val="20"/>
              </w:rPr>
              <w:t>(A)</w:t>
            </w:r>
            <w:r w:rsidRPr="00AF6498">
              <w:rPr>
                <w:szCs w:val="20"/>
              </w:rPr>
              <w:t xml:space="preserve"> </w:t>
            </w:r>
            <w:proofErr w:type="gramStart"/>
            <w:r w:rsidRPr="00AF6498">
              <w:rPr>
                <w:szCs w:val="20"/>
              </w:rPr>
              <w:t>interactive</w:t>
            </w:r>
            <w:proofErr w:type="gramEnd"/>
            <w:r w:rsidRPr="00AF6498">
              <w:rPr>
                <w:szCs w:val="20"/>
              </w:rPr>
              <w:t xml:space="preserve"> learning resources, digital learning content</w:t>
            </w:r>
            <w:r w:rsidR="00860D9B">
              <w:rPr>
                <w:szCs w:val="20"/>
              </w:rPr>
              <w:t xml:space="preserve"> </w:t>
            </w:r>
            <w:r w:rsidRPr="00AF6498">
              <w:rPr>
                <w:szCs w:val="20"/>
              </w:rPr>
              <w:t>[…], software, or simulations, that engage students in academic content;</w:t>
            </w:r>
          </w:p>
        </w:tc>
        <w:tc>
          <w:tcPr>
            <w:tcW w:w="6390" w:type="dxa"/>
            <w:tcBorders>
              <w:top w:val="thinThickThinSmallGap" w:sz="24" w:space="0" w:color="auto"/>
            </w:tcBorders>
            <w:shd w:val="clear" w:color="auto" w:fill="DBE5F1" w:themeFill="accent1" w:themeFillTint="33"/>
          </w:tcPr>
          <w:p w:rsidR="00B611B1" w:rsidRPr="00AF6498" w:rsidRDefault="00B611B1" w:rsidP="00E44815">
            <w:pPr>
              <w:autoSpaceDE w:val="0"/>
              <w:autoSpaceDN w:val="0"/>
              <w:rPr>
                <w:szCs w:val="20"/>
              </w:rPr>
            </w:pPr>
            <w:r w:rsidRPr="00AF6498">
              <w:rPr>
                <w:szCs w:val="20"/>
              </w:rPr>
              <w:t xml:space="preserve">Delivers content via the Schoology LMS or Google Drive that teaches information and communications technology (ICT) literacy skills to engage </w:t>
            </w:r>
            <w:r w:rsidR="00663684">
              <w:rPr>
                <w:szCs w:val="20"/>
              </w:rPr>
              <w:t xml:space="preserve">students </w:t>
            </w:r>
            <w:r w:rsidRPr="00AF6498">
              <w:rPr>
                <w:szCs w:val="20"/>
              </w:rPr>
              <w:t xml:space="preserve">in </w:t>
            </w:r>
            <w:r w:rsidR="00663684">
              <w:rPr>
                <w:szCs w:val="20"/>
              </w:rPr>
              <w:t>career research using credible Web sources and databases</w:t>
            </w:r>
          </w:p>
          <w:p w:rsidR="00B611B1" w:rsidRPr="00AF6498" w:rsidRDefault="00B611B1" w:rsidP="00E44815">
            <w:pPr>
              <w:autoSpaceDE w:val="0"/>
              <w:autoSpaceDN w:val="0"/>
              <w:rPr>
                <w:szCs w:val="20"/>
              </w:rPr>
            </w:pPr>
          </w:p>
        </w:tc>
      </w:tr>
      <w:tr w:rsidR="00B611B1" w:rsidRPr="002C5AF0" w:rsidTr="00E44815">
        <w:trPr>
          <w:trHeight w:val="470"/>
        </w:trPr>
        <w:tc>
          <w:tcPr>
            <w:tcW w:w="3240" w:type="dxa"/>
            <w:shd w:val="clear" w:color="auto" w:fill="F2DBDB" w:themeFill="accent2" w:themeFillTint="33"/>
          </w:tcPr>
          <w:p w:rsidR="00B611B1" w:rsidRPr="00AF6498" w:rsidRDefault="00B611B1" w:rsidP="00E44815">
            <w:pPr>
              <w:autoSpaceDE w:val="0"/>
              <w:autoSpaceDN w:val="0"/>
              <w:rPr>
                <w:szCs w:val="20"/>
              </w:rPr>
            </w:pPr>
            <w:r w:rsidRPr="00AF6498">
              <w:rPr>
                <w:szCs w:val="20"/>
              </w:rPr>
              <w:t>‘‘</w:t>
            </w:r>
            <w:r w:rsidRPr="00AF6498">
              <w:rPr>
                <w:b/>
                <w:szCs w:val="20"/>
              </w:rPr>
              <w:t>(B)</w:t>
            </w:r>
            <w:r w:rsidRPr="00AF6498">
              <w:rPr>
                <w:szCs w:val="20"/>
              </w:rPr>
              <w:t xml:space="preserve"> </w:t>
            </w:r>
            <w:proofErr w:type="gramStart"/>
            <w:r w:rsidRPr="00AF6498">
              <w:rPr>
                <w:szCs w:val="20"/>
              </w:rPr>
              <w:t>access</w:t>
            </w:r>
            <w:proofErr w:type="gramEnd"/>
            <w:r w:rsidRPr="00AF6498">
              <w:rPr>
                <w:szCs w:val="20"/>
              </w:rPr>
              <w:t xml:space="preserve"> to online databases and other primary source documents;</w:t>
            </w:r>
          </w:p>
        </w:tc>
        <w:tc>
          <w:tcPr>
            <w:tcW w:w="6390" w:type="dxa"/>
            <w:shd w:val="clear" w:color="auto" w:fill="DBE5F1" w:themeFill="accent1" w:themeFillTint="33"/>
          </w:tcPr>
          <w:p w:rsidR="00B611B1" w:rsidRPr="00AF6498" w:rsidRDefault="00B611B1" w:rsidP="00E44815">
            <w:pPr>
              <w:autoSpaceDE w:val="0"/>
              <w:autoSpaceDN w:val="0"/>
              <w:rPr>
                <w:szCs w:val="20"/>
              </w:rPr>
            </w:pPr>
            <w:r w:rsidRPr="00AF6498">
              <w:rPr>
                <w:szCs w:val="20"/>
              </w:rPr>
              <w:t>Teaches students how to navigate educational, career and college websites</w:t>
            </w:r>
          </w:p>
        </w:tc>
      </w:tr>
      <w:tr w:rsidR="00B611B1" w:rsidRPr="002C5AF0" w:rsidTr="00E44815">
        <w:trPr>
          <w:trHeight w:val="470"/>
        </w:trPr>
        <w:tc>
          <w:tcPr>
            <w:tcW w:w="3240" w:type="dxa"/>
            <w:shd w:val="clear" w:color="auto" w:fill="F2DBDB" w:themeFill="accent2" w:themeFillTint="33"/>
          </w:tcPr>
          <w:p w:rsidR="00B611B1" w:rsidRPr="00AF6498" w:rsidRDefault="00B611B1" w:rsidP="00E44815">
            <w:pPr>
              <w:autoSpaceDE w:val="0"/>
              <w:autoSpaceDN w:val="0"/>
              <w:rPr>
                <w:szCs w:val="20"/>
              </w:rPr>
            </w:pPr>
            <w:r w:rsidRPr="00AF6498">
              <w:rPr>
                <w:szCs w:val="20"/>
              </w:rPr>
              <w:t>‘‘</w:t>
            </w:r>
            <w:r w:rsidRPr="00AF6498">
              <w:rPr>
                <w:b/>
                <w:szCs w:val="20"/>
              </w:rPr>
              <w:t xml:space="preserve">(C) </w:t>
            </w:r>
            <w:proofErr w:type="gramStart"/>
            <w:r w:rsidRPr="00AF6498">
              <w:rPr>
                <w:szCs w:val="20"/>
              </w:rPr>
              <w:t>the</w:t>
            </w:r>
            <w:proofErr w:type="gramEnd"/>
            <w:r w:rsidRPr="00AF6498">
              <w:rPr>
                <w:szCs w:val="20"/>
              </w:rPr>
              <w:t xml:space="preserve"> use of data and information to personalize learning and provide targeted supplementary instruction;</w:t>
            </w:r>
          </w:p>
        </w:tc>
        <w:tc>
          <w:tcPr>
            <w:tcW w:w="6390" w:type="dxa"/>
            <w:shd w:val="clear" w:color="auto" w:fill="DBE5F1" w:themeFill="accent1" w:themeFillTint="33"/>
          </w:tcPr>
          <w:p w:rsidR="00B611B1" w:rsidRPr="00AF6498" w:rsidRDefault="00B611B1" w:rsidP="00E44815">
            <w:pPr>
              <w:autoSpaceDE w:val="0"/>
              <w:autoSpaceDN w:val="0"/>
              <w:rPr>
                <w:szCs w:val="20"/>
              </w:rPr>
            </w:pPr>
            <w:r w:rsidRPr="00AF6498">
              <w:rPr>
                <w:szCs w:val="20"/>
              </w:rPr>
              <w:t>Facilitates age-appropriate transition assessments to personalize learning so students explore college and career options aligned with their interest, personality and learning styles</w:t>
            </w:r>
          </w:p>
        </w:tc>
      </w:tr>
      <w:tr w:rsidR="00B611B1" w:rsidRPr="002C5AF0" w:rsidTr="00E44815">
        <w:tc>
          <w:tcPr>
            <w:tcW w:w="3240" w:type="dxa"/>
            <w:shd w:val="clear" w:color="auto" w:fill="F2DBDB" w:themeFill="accent2" w:themeFillTint="33"/>
          </w:tcPr>
          <w:p w:rsidR="00B611B1" w:rsidRPr="00AF6498" w:rsidRDefault="00B611B1" w:rsidP="00E44815">
            <w:pPr>
              <w:autoSpaceDE w:val="0"/>
              <w:autoSpaceDN w:val="0"/>
              <w:rPr>
                <w:szCs w:val="20"/>
              </w:rPr>
            </w:pPr>
            <w:r w:rsidRPr="00AF6498">
              <w:rPr>
                <w:szCs w:val="20"/>
              </w:rPr>
              <w:t>‘‘</w:t>
            </w:r>
            <w:r w:rsidRPr="00AF6498">
              <w:rPr>
                <w:b/>
                <w:szCs w:val="20"/>
              </w:rPr>
              <w:t>(D)</w:t>
            </w:r>
            <w:r w:rsidRPr="00AF6498">
              <w:rPr>
                <w:szCs w:val="20"/>
              </w:rPr>
              <w:t xml:space="preserve"> </w:t>
            </w:r>
            <w:proofErr w:type="gramStart"/>
            <w:r w:rsidRPr="00AF6498">
              <w:rPr>
                <w:szCs w:val="20"/>
              </w:rPr>
              <w:t>online</w:t>
            </w:r>
            <w:proofErr w:type="gramEnd"/>
            <w:r w:rsidRPr="00AF6498">
              <w:rPr>
                <w:szCs w:val="20"/>
              </w:rPr>
              <w:t xml:space="preserve"> and computer-based assessments;</w:t>
            </w:r>
          </w:p>
        </w:tc>
        <w:tc>
          <w:tcPr>
            <w:tcW w:w="6390" w:type="dxa"/>
            <w:shd w:val="clear" w:color="auto" w:fill="DBE5F1" w:themeFill="accent1" w:themeFillTint="33"/>
          </w:tcPr>
          <w:p w:rsidR="00B611B1" w:rsidRPr="00AF6498" w:rsidRDefault="00B611B1" w:rsidP="00E44815">
            <w:pPr>
              <w:autoSpaceDE w:val="0"/>
              <w:autoSpaceDN w:val="0"/>
              <w:rPr>
                <w:szCs w:val="20"/>
              </w:rPr>
            </w:pPr>
            <w:r w:rsidRPr="00AF6498">
              <w:rPr>
                <w:szCs w:val="20"/>
              </w:rPr>
              <w:t>Students complete online age-appropriate transition assessments, such as the VARK Learning Questionnaire, O*NET Interest Profiler, and unit quizzes</w:t>
            </w:r>
          </w:p>
        </w:tc>
      </w:tr>
      <w:tr w:rsidR="00B611B1" w:rsidRPr="002C5AF0" w:rsidTr="00E44815">
        <w:trPr>
          <w:trHeight w:val="710"/>
        </w:trPr>
        <w:tc>
          <w:tcPr>
            <w:tcW w:w="3240" w:type="dxa"/>
            <w:shd w:val="clear" w:color="auto" w:fill="F2DBDB" w:themeFill="accent2" w:themeFillTint="33"/>
          </w:tcPr>
          <w:p w:rsidR="00B611B1" w:rsidRPr="00AF6498" w:rsidRDefault="00B611B1" w:rsidP="00E44815">
            <w:pPr>
              <w:autoSpaceDE w:val="0"/>
              <w:autoSpaceDN w:val="0"/>
              <w:rPr>
                <w:szCs w:val="20"/>
              </w:rPr>
            </w:pPr>
            <w:r w:rsidRPr="00AF6498">
              <w:rPr>
                <w:szCs w:val="20"/>
              </w:rPr>
              <w:t>‘‘</w:t>
            </w:r>
            <w:r w:rsidRPr="00AF6498">
              <w:rPr>
                <w:b/>
                <w:szCs w:val="20"/>
              </w:rPr>
              <w:t>(E)</w:t>
            </w:r>
            <w:r w:rsidRPr="00AF6498">
              <w:rPr>
                <w:szCs w:val="20"/>
              </w:rPr>
              <w:t xml:space="preserve"> </w:t>
            </w:r>
            <w:proofErr w:type="gramStart"/>
            <w:r w:rsidRPr="00AF6498">
              <w:rPr>
                <w:szCs w:val="20"/>
              </w:rPr>
              <w:t>learning</w:t>
            </w:r>
            <w:proofErr w:type="gramEnd"/>
            <w:r w:rsidRPr="00AF6498">
              <w:rPr>
                <w:szCs w:val="20"/>
              </w:rPr>
              <w:t xml:space="preserve"> environments that allow for rich collaboration and communication;</w:t>
            </w:r>
          </w:p>
        </w:tc>
        <w:tc>
          <w:tcPr>
            <w:tcW w:w="6390" w:type="dxa"/>
            <w:shd w:val="clear" w:color="auto" w:fill="DBE5F1" w:themeFill="accent1" w:themeFillTint="33"/>
          </w:tcPr>
          <w:p w:rsidR="00B611B1" w:rsidRPr="00AF6498" w:rsidRDefault="00B611B1" w:rsidP="00E44815">
            <w:pPr>
              <w:autoSpaceDE w:val="0"/>
              <w:autoSpaceDN w:val="0"/>
              <w:rPr>
                <w:szCs w:val="20"/>
              </w:rPr>
            </w:pPr>
            <w:r w:rsidRPr="00AF6498">
              <w:rPr>
                <w:szCs w:val="20"/>
              </w:rPr>
              <w:t>Students participate in group discussions, adult support and peer review activities, and blogs to share results of age-appropriate transition assessments and career research</w:t>
            </w:r>
          </w:p>
        </w:tc>
      </w:tr>
      <w:tr w:rsidR="00B611B1" w:rsidRPr="002C5AF0" w:rsidTr="00E44815">
        <w:trPr>
          <w:trHeight w:val="1190"/>
        </w:trPr>
        <w:tc>
          <w:tcPr>
            <w:tcW w:w="3240" w:type="dxa"/>
            <w:shd w:val="clear" w:color="auto" w:fill="F2DBDB" w:themeFill="accent2" w:themeFillTint="33"/>
          </w:tcPr>
          <w:p w:rsidR="00B611B1" w:rsidRPr="00AF6498" w:rsidRDefault="00B611B1" w:rsidP="00E44815">
            <w:pPr>
              <w:autoSpaceDE w:val="0"/>
              <w:autoSpaceDN w:val="0"/>
              <w:rPr>
                <w:szCs w:val="20"/>
              </w:rPr>
            </w:pPr>
            <w:r w:rsidRPr="00AF6498">
              <w:rPr>
                <w:szCs w:val="20"/>
              </w:rPr>
              <w:t>‘‘</w:t>
            </w:r>
            <w:r w:rsidRPr="00AF6498">
              <w:rPr>
                <w:b/>
                <w:szCs w:val="20"/>
              </w:rPr>
              <w:t>(F)</w:t>
            </w:r>
            <w:r w:rsidRPr="00AF6498">
              <w:rPr>
                <w:szCs w:val="20"/>
              </w:rPr>
              <w:t xml:space="preserve"> </w:t>
            </w:r>
            <w:proofErr w:type="gramStart"/>
            <w:r w:rsidRPr="00AF6498">
              <w:rPr>
                <w:szCs w:val="20"/>
              </w:rPr>
              <w:t>hybrid</w:t>
            </w:r>
            <w:proofErr w:type="gramEnd"/>
            <w:r w:rsidRPr="00AF6498">
              <w:rPr>
                <w:szCs w:val="20"/>
              </w:rPr>
              <w:t xml:space="preserve"> or blended learning, which occurs under direct instructor supervision […] through online delivery of instruction with some element of student control […]; and</w:t>
            </w:r>
          </w:p>
        </w:tc>
        <w:tc>
          <w:tcPr>
            <w:tcW w:w="6390" w:type="dxa"/>
            <w:shd w:val="clear" w:color="auto" w:fill="DBE5F1" w:themeFill="accent1" w:themeFillTint="33"/>
          </w:tcPr>
          <w:p w:rsidR="00B611B1" w:rsidRPr="00AF6498" w:rsidRDefault="00B611B1" w:rsidP="00E44815">
            <w:pPr>
              <w:autoSpaceDE w:val="0"/>
              <w:autoSpaceDN w:val="0"/>
              <w:rPr>
                <w:szCs w:val="20"/>
              </w:rPr>
            </w:pPr>
            <w:r w:rsidRPr="00AF6498">
              <w:rPr>
                <w:szCs w:val="20"/>
              </w:rPr>
              <w:t>Students work independently to read content and complete activities and assignments, resulting in a comprehensive Transition Portfolio</w:t>
            </w:r>
          </w:p>
        </w:tc>
      </w:tr>
      <w:tr w:rsidR="00B611B1" w:rsidRPr="002C5AF0" w:rsidTr="00E44815">
        <w:trPr>
          <w:trHeight w:val="470"/>
        </w:trPr>
        <w:tc>
          <w:tcPr>
            <w:tcW w:w="3240" w:type="dxa"/>
            <w:tcBorders>
              <w:bottom w:val="thinThickThinSmallGap" w:sz="24" w:space="0" w:color="auto"/>
            </w:tcBorders>
            <w:shd w:val="clear" w:color="auto" w:fill="F2DBDB" w:themeFill="accent2" w:themeFillTint="33"/>
          </w:tcPr>
          <w:p w:rsidR="00B611B1" w:rsidRPr="00AF6498" w:rsidRDefault="00B611B1" w:rsidP="00E44815">
            <w:pPr>
              <w:autoSpaceDE w:val="0"/>
              <w:autoSpaceDN w:val="0"/>
              <w:rPr>
                <w:szCs w:val="20"/>
              </w:rPr>
            </w:pPr>
            <w:r w:rsidRPr="00AF6498">
              <w:rPr>
                <w:szCs w:val="20"/>
              </w:rPr>
              <w:t>‘‘</w:t>
            </w:r>
            <w:r w:rsidRPr="00AF6498">
              <w:rPr>
                <w:b/>
                <w:szCs w:val="20"/>
              </w:rPr>
              <w:t>(G)</w:t>
            </w:r>
            <w:r w:rsidRPr="00AF6498">
              <w:rPr>
                <w:szCs w:val="20"/>
              </w:rPr>
              <w:t xml:space="preserve"> </w:t>
            </w:r>
            <w:proofErr w:type="gramStart"/>
            <w:r w:rsidRPr="00AF6498">
              <w:rPr>
                <w:szCs w:val="20"/>
              </w:rPr>
              <w:t>access</w:t>
            </w:r>
            <w:proofErr w:type="gramEnd"/>
            <w:r w:rsidRPr="00AF6498">
              <w:rPr>
                <w:szCs w:val="20"/>
              </w:rPr>
              <w:t xml:space="preserve"> to online course opportunities for students in rural or remote areas.</w:t>
            </w:r>
          </w:p>
        </w:tc>
        <w:tc>
          <w:tcPr>
            <w:tcW w:w="6390" w:type="dxa"/>
            <w:tcBorders>
              <w:bottom w:val="thinThickThinSmallGap" w:sz="24" w:space="0" w:color="auto"/>
            </w:tcBorders>
            <w:shd w:val="clear" w:color="auto" w:fill="DBE5F1" w:themeFill="accent1" w:themeFillTint="33"/>
          </w:tcPr>
          <w:p w:rsidR="00B611B1" w:rsidRPr="00AF6498" w:rsidRDefault="00B611B1" w:rsidP="00E44815">
            <w:pPr>
              <w:autoSpaceDE w:val="0"/>
              <w:autoSpaceDN w:val="0"/>
              <w:rPr>
                <w:szCs w:val="20"/>
              </w:rPr>
            </w:pPr>
            <w:r w:rsidRPr="00AF6498">
              <w:rPr>
                <w:szCs w:val="20"/>
              </w:rPr>
              <w:t xml:space="preserve">Implemented in rural school districts with Internet access; students can access digital curricula at school, home, library – wherever student can access the Internet </w:t>
            </w:r>
          </w:p>
        </w:tc>
      </w:tr>
      <w:tr w:rsidR="00B611B1" w:rsidRPr="002C5AF0" w:rsidTr="00E44815">
        <w:tc>
          <w:tcPr>
            <w:tcW w:w="9630" w:type="dxa"/>
            <w:gridSpan w:val="2"/>
            <w:tcBorders>
              <w:top w:val="thinThickThinSmallGap" w:sz="24" w:space="0" w:color="auto"/>
            </w:tcBorders>
            <w:shd w:val="clear" w:color="auto" w:fill="F2DBDB" w:themeFill="accent2" w:themeFillTint="33"/>
          </w:tcPr>
          <w:p w:rsidR="00B611B1" w:rsidRPr="00AF6498" w:rsidRDefault="00B611B1" w:rsidP="00E44815">
            <w:pPr>
              <w:autoSpaceDE w:val="0"/>
              <w:autoSpaceDN w:val="0"/>
              <w:rPr>
                <w:b/>
                <w:bCs/>
                <w:szCs w:val="20"/>
              </w:rPr>
            </w:pPr>
            <w:r w:rsidRPr="00AF6498">
              <w:rPr>
                <w:b/>
                <w:bCs/>
                <w:szCs w:val="20"/>
              </w:rPr>
              <w:t>‘‘SEC. 4102. DEFINITIONS.</w:t>
            </w:r>
          </w:p>
        </w:tc>
      </w:tr>
      <w:tr w:rsidR="00B611B1" w:rsidRPr="002C5AF0" w:rsidTr="00E44815">
        <w:trPr>
          <w:trHeight w:val="521"/>
        </w:trPr>
        <w:tc>
          <w:tcPr>
            <w:tcW w:w="9630" w:type="dxa"/>
            <w:gridSpan w:val="2"/>
            <w:shd w:val="clear" w:color="auto" w:fill="F2DBDB" w:themeFill="accent2" w:themeFillTint="33"/>
          </w:tcPr>
          <w:p w:rsidR="00B611B1" w:rsidRPr="00AF6498" w:rsidRDefault="00B611B1" w:rsidP="00E44815">
            <w:pPr>
              <w:autoSpaceDE w:val="0"/>
              <w:autoSpaceDN w:val="0"/>
              <w:rPr>
                <w:b/>
                <w:szCs w:val="20"/>
              </w:rPr>
            </w:pPr>
            <w:r w:rsidRPr="00AF6498">
              <w:rPr>
                <w:b/>
                <w:szCs w:val="20"/>
              </w:rPr>
              <w:t>‘‘(1) BLENDED LEARNING</w:t>
            </w:r>
            <w:proofErr w:type="gramStart"/>
            <w:r w:rsidRPr="00AF6498">
              <w:rPr>
                <w:b/>
                <w:szCs w:val="20"/>
              </w:rPr>
              <w:t>.—</w:t>
            </w:r>
            <w:proofErr w:type="gramEnd"/>
            <w:r w:rsidRPr="00AF6498">
              <w:rPr>
                <w:b/>
                <w:szCs w:val="20"/>
              </w:rPr>
              <w:t>Refers to a formal education program that leverages both technology-based and face-to-face instructional approaches —</w:t>
            </w:r>
          </w:p>
        </w:tc>
      </w:tr>
      <w:tr w:rsidR="00B611B1" w:rsidRPr="002C5AF0" w:rsidTr="00E44815">
        <w:trPr>
          <w:trHeight w:val="950"/>
        </w:trPr>
        <w:tc>
          <w:tcPr>
            <w:tcW w:w="3240" w:type="dxa"/>
            <w:tcBorders>
              <w:top w:val="thinThickThinSmallGap" w:sz="24" w:space="0" w:color="auto"/>
            </w:tcBorders>
            <w:shd w:val="clear" w:color="auto" w:fill="F2DBDB" w:themeFill="accent2" w:themeFillTint="33"/>
          </w:tcPr>
          <w:p w:rsidR="00B611B1" w:rsidRPr="00AF6498" w:rsidRDefault="00B611B1" w:rsidP="00E44815">
            <w:pPr>
              <w:autoSpaceDE w:val="0"/>
              <w:autoSpaceDN w:val="0"/>
              <w:rPr>
                <w:szCs w:val="20"/>
              </w:rPr>
            </w:pPr>
            <w:r w:rsidRPr="00AF6498">
              <w:rPr>
                <w:szCs w:val="20"/>
              </w:rPr>
              <w:t>‘‘</w:t>
            </w:r>
            <w:r w:rsidRPr="00AF6498">
              <w:rPr>
                <w:b/>
                <w:szCs w:val="20"/>
              </w:rPr>
              <w:t>(A)</w:t>
            </w:r>
            <w:r w:rsidRPr="00AF6498">
              <w:rPr>
                <w:szCs w:val="20"/>
              </w:rPr>
              <w:t xml:space="preserve"> </w:t>
            </w:r>
            <w:proofErr w:type="gramStart"/>
            <w:r w:rsidRPr="00AF6498">
              <w:rPr>
                <w:szCs w:val="20"/>
              </w:rPr>
              <w:t>that</w:t>
            </w:r>
            <w:proofErr w:type="gramEnd"/>
            <w:r w:rsidRPr="00AF6498">
              <w:rPr>
                <w:szCs w:val="20"/>
              </w:rPr>
              <w:t xml:space="preserve"> include an element of online or digital learning, combined with supervised learning time, and student-led learning, in which the elements are connected to provide an integrated learning experience; and</w:t>
            </w:r>
          </w:p>
        </w:tc>
        <w:tc>
          <w:tcPr>
            <w:tcW w:w="6390" w:type="dxa"/>
            <w:tcBorders>
              <w:top w:val="thinThickThinSmallGap" w:sz="24" w:space="0" w:color="auto"/>
            </w:tcBorders>
            <w:shd w:val="clear" w:color="auto" w:fill="DBE5F1" w:themeFill="accent1" w:themeFillTint="33"/>
          </w:tcPr>
          <w:p w:rsidR="00B611B1" w:rsidRPr="00AF6498" w:rsidRDefault="00B611B1" w:rsidP="00E44815">
            <w:pPr>
              <w:autoSpaceDE w:val="0"/>
              <w:autoSpaceDN w:val="0"/>
              <w:rPr>
                <w:szCs w:val="20"/>
              </w:rPr>
            </w:pPr>
            <w:r w:rsidRPr="00AF6498">
              <w:rPr>
                <w:szCs w:val="20"/>
              </w:rPr>
              <w:t>Teaches students to navigate career based websites based on age-appropriate transition assessments</w:t>
            </w:r>
          </w:p>
          <w:p w:rsidR="00B611B1" w:rsidRPr="00AF6498" w:rsidRDefault="00B611B1" w:rsidP="00E44815">
            <w:pPr>
              <w:autoSpaceDE w:val="0"/>
              <w:autoSpaceDN w:val="0"/>
              <w:rPr>
                <w:szCs w:val="20"/>
              </w:rPr>
            </w:pPr>
          </w:p>
          <w:p w:rsidR="00B611B1" w:rsidRPr="00AF6498" w:rsidRDefault="00B611B1" w:rsidP="00E44815">
            <w:pPr>
              <w:autoSpaceDE w:val="0"/>
              <w:autoSpaceDN w:val="0"/>
              <w:rPr>
                <w:szCs w:val="20"/>
              </w:rPr>
            </w:pPr>
            <w:r w:rsidRPr="00AF6498">
              <w:rPr>
                <w:szCs w:val="20"/>
              </w:rPr>
              <w:t>Students work independently on activities after content is delivered by either a teacher or independently by students</w:t>
            </w:r>
          </w:p>
        </w:tc>
      </w:tr>
      <w:tr w:rsidR="00B611B1" w:rsidRPr="002C5AF0" w:rsidTr="00E44815">
        <w:trPr>
          <w:trHeight w:val="470"/>
        </w:trPr>
        <w:tc>
          <w:tcPr>
            <w:tcW w:w="3240" w:type="dxa"/>
            <w:shd w:val="clear" w:color="auto" w:fill="F2DBDB" w:themeFill="accent2" w:themeFillTint="33"/>
          </w:tcPr>
          <w:p w:rsidR="00B611B1" w:rsidRPr="00AF6498" w:rsidRDefault="00B611B1" w:rsidP="00E44815">
            <w:pPr>
              <w:autoSpaceDE w:val="0"/>
              <w:autoSpaceDN w:val="0"/>
              <w:rPr>
                <w:szCs w:val="20"/>
              </w:rPr>
            </w:pPr>
            <w:r w:rsidRPr="00AF6498">
              <w:rPr>
                <w:szCs w:val="20"/>
              </w:rPr>
              <w:t>‘‘</w:t>
            </w:r>
            <w:r w:rsidRPr="00AF6498">
              <w:rPr>
                <w:b/>
                <w:szCs w:val="20"/>
              </w:rPr>
              <w:t>(B)</w:t>
            </w:r>
            <w:r w:rsidRPr="00AF6498">
              <w:rPr>
                <w:szCs w:val="20"/>
              </w:rPr>
              <w:t xml:space="preserve"> </w:t>
            </w:r>
            <w:proofErr w:type="gramStart"/>
            <w:r w:rsidRPr="00AF6498">
              <w:rPr>
                <w:szCs w:val="20"/>
              </w:rPr>
              <w:t>in</w:t>
            </w:r>
            <w:proofErr w:type="gramEnd"/>
            <w:r w:rsidRPr="00AF6498">
              <w:rPr>
                <w:szCs w:val="20"/>
              </w:rPr>
              <w:t xml:space="preserve"> which students are provided some control over time, path, pace.</w:t>
            </w:r>
          </w:p>
        </w:tc>
        <w:tc>
          <w:tcPr>
            <w:tcW w:w="6390" w:type="dxa"/>
            <w:shd w:val="clear" w:color="auto" w:fill="DBE5F1" w:themeFill="accent1" w:themeFillTint="33"/>
          </w:tcPr>
          <w:p w:rsidR="00B611B1" w:rsidRPr="00AF6498" w:rsidRDefault="00B611B1" w:rsidP="00E44815">
            <w:pPr>
              <w:autoSpaceDE w:val="0"/>
              <w:autoSpaceDN w:val="0"/>
              <w:rPr>
                <w:szCs w:val="20"/>
              </w:rPr>
            </w:pPr>
            <w:r w:rsidRPr="00AF6498">
              <w:rPr>
                <w:szCs w:val="20"/>
              </w:rPr>
              <w:t>Students work independently to read content and complete activities and assignments, resulting in a comprehensive Transition Portfolio</w:t>
            </w:r>
          </w:p>
        </w:tc>
      </w:tr>
    </w:tbl>
    <w:p w:rsidR="00B611B1" w:rsidRDefault="00B611B1" w:rsidP="00E761BE">
      <w:pPr>
        <w:pStyle w:val="Heading1"/>
        <w:spacing w:before="0"/>
        <w:rPr>
          <w:color w:val="auto"/>
        </w:rPr>
      </w:pPr>
    </w:p>
    <w:p w:rsidR="000901DE" w:rsidRPr="00AE36CC" w:rsidRDefault="00AE36CC" w:rsidP="00E761BE">
      <w:pPr>
        <w:pStyle w:val="Heading1"/>
        <w:spacing w:before="0"/>
        <w:rPr>
          <w:color w:val="auto"/>
        </w:rPr>
      </w:pPr>
      <w:r>
        <w:rPr>
          <w:color w:val="auto"/>
        </w:rPr>
        <w:t xml:space="preserve">Stages </w:t>
      </w:r>
      <w:r w:rsidR="00E761BE">
        <w:rPr>
          <w:color w:val="auto"/>
        </w:rPr>
        <w:t>&amp;</w:t>
      </w:r>
      <w:r>
        <w:rPr>
          <w:color w:val="auto"/>
        </w:rPr>
        <w:t xml:space="preserve"> </w:t>
      </w:r>
      <w:r w:rsidR="000901DE" w:rsidRPr="00AE36CC">
        <w:rPr>
          <w:color w:val="auto"/>
        </w:rPr>
        <w:t>Steps in Scaling-Up the EnvisionIT (EIT) Evidence-Based Intervention</w:t>
      </w:r>
    </w:p>
    <w:p w:rsidR="000901DE" w:rsidRDefault="000901DE" w:rsidP="000901DE">
      <w:pPr>
        <w:spacing w:after="0" w:line="240" w:lineRule="auto"/>
        <w:rPr>
          <w:rFonts w:ascii="Times New Roman" w:hAnsi="Times New Roman" w:cs="Times New Roman"/>
          <w:color w:val="0D0D0D" w:themeColor="text1" w:themeTint="F2"/>
          <w:sz w:val="20"/>
          <w:szCs w:val="20"/>
        </w:rPr>
      </w:pPr>
    </w:p>
    <w:p w:rsidR="00A86E2B" w:rsidRPr="00A86E2B" w:rsidRDefault="00AE36CC" w:rsidP="00A86E2B">
      <w:pPr>
        <w:spacing w:after="0" w:line="240" w:lineRule="auto"/>
        <w:rPr>
          <w:rFonts w:cs="Times New Roman"/>
          <w:color w:val="0D0D0D" w:themeColor="text1" w:themeTint="F2"/>
          <w:sz w:val="24"/>
          <w:szCs w:val="24"/>
        </w:rPr>
      </w:pPr>
      <w:r w:rsidRPr="00B611B1">
        <w:rPr>
          <w:rFonts w:cs="Times New Roman"/>
          <w:color w:val="0D0D0D" w:themeColor="text1" w:themeTint="F2"/>
          <w:sz w:val="24"/>
          <w:szCs w:val="24"/>
        </w:rPr>
        <w:t xml:space="preserve">The following stages and steps are based </w:t>
      </w:r>
      <w:r w:rsidR="00E761BE" w:rsidRPr="00B611B1">
        <w:rPr>
          <w:rFonts w:cs="Times New Roman"/>
          <w:color w:val="0D0D0D" w:themeColor="text1" w:themeTint="F2"/>
          <w:sz w:val="24"/>
          <w:szCs w:val="24"/>
        </w:rPr>
        <w:t>up</w:t>
      </w:r>
      <w:r w:rsidRPr="00B611B1">
        <w:rPr>
          <w:rFonts w:cs="Times New Roman"/>
          <w:color w:val="0D0D0D" w:themeColor="text1" w:themeTint="F2"/>
          <w:sz w:val="24"/>
          <w:szCs w:val="24"/>
        </w:rPr>
        <w:t xml:space="preserve">on EIT project experience, as well as Stages of Implementation research available online at </w:t>
      </w:r>
      <w:hyperlink r:id="rId17" w:history="1">
        <w:r w:rsidR="00E57111" w:rsidRPr="006F7D8B">
          <w:rPr>
            <w:rStyle w:val="Hyperlink"/>
            <w:rFonts w:cs="Times New Roman"/>
            <w:sz w:val="24"/>
            <w:szCs w:val="24"/>
          </w:rPr>
          <w:t>http://implementation.fpg.unc.edu/</w:t>
        </w:r>
      </w:hyperlink>
      <w:r w:rsidRPr="00B611B1">
        <w:rPr>
          <w:rFonts w:cs="Times New Roman"/>
          <w:color w:val="0D0D0D" w:themeColor="text1" w:themeTint="F2"/>
          <w:sz w:val="24"/>
          <w:szCs w:val="24"/>
        </w:rPr>
        <w:t xml:space="preserve">. </w:t>
      </w:r>
      <w:r w:rsidR="00E761BE" w:rsidRPr="00B611B1">
        <w:rPr>
          <w:rFonts w:cs="Times New Roman"/>
          <w:color w:val="0D0D0D" w:themeColor="text1" w:themeTint="F2"/>
          <w:sz w:val="24"/>
          <w:szCs w:val="24"/>
        </w:rPr>
        <w:t xml:space="preserve">Though presented </w:t>
      </w:r>
      <w:r w:rsidRPr="00B611B1">
        <w:rPr>
          <w:rFonts w:cs="Times New Roman"/>
          <w:color w:val="0D0D0D" w:themeColor="text1" w:themeTint="F2"/>
          <w:sz w:val="24"/>
          <w:szCs w:val="24"/>
        </w:rPr>
        <w:t>linear</w:t>
      </w:r>
      <w:r w:rsidR="00E761BE" w:rsidRPr="00B611B1">
        <w:rPr>
          <w:rFonts w:cs="Times New Roman"/>
          <w:color w:val="0D0D0D" w:themeColor="text1" w:themeTint="F2"/>
          <w:sz w:val="24"/>
          <w:szCs w:val="24"/>
        </w:rPr>
        <w:t>ly</w:t>
      </w:r>
      <w:r w:rsidRPr="00B611B1">
        <w:rPr>
          <w:rFonts w:cs="Times New Roman"/>
          <w:color w:val="0D0D0D" w:themeColor="text1" w:themeTint="F2"/>
          <w:sz w:val="24"/>
          <w:szCs w:val="24"/>
        </w:rPr>
        <w:t xml:space="preserve">, </w:t>
      </w:r>
      <w:r w:rsidR="00E761BE" w:rsidRPr="00B611B1">
        <w:rPr>
          <w:rFonts w:cs="Times New Roman"/>
          <w:color w:val="0D0D0D" w:themeColor="text1" w:themeTint="F2"/>
          <w:sz w:val="24"/>
          <w:szCs w:val="24"/>
        </w:rPr>
        <w:t>the</w:t>
      </w:r>
      <w:r w:rsidRPr="00B611B1">
        <w:rPr>
          <w:rFonts w:cs="Times New Roman"/>
          <w:color w:val="0D0D0D" w:themeColor="text1" w:themeTint="F2"/>
          <w:sz w:val="24"/>
          <w:szCs w:val="24"/>
        </w:rPr>
        <w:t xml:space="preserve"> stages and steps </w:t>
      </w:r>
      <w:r w:rsidR="00E761BE" w:rsidRPr="00B611B1">
        <w:rPr>
          <w:rFonts w:cs="Times New Roman"/>
          <w:color w:val="0D0D0D" w:themeColor="text1" w:themeTint="F2"/>
          <w:sz w:val="24"/>
          <w:szCs w:val="24"/>
        </w:rPr>
        <w:t xml:space="preserve">may occur </w:t>
      </w:r>
      <w:r w:rsidRPr="00B611B1">
        <w:rPr>
          <w:rFonts w:cs="Times New Roman"/>
          <w:color w:val="0D0D0D" w:themeColor="text1" w:themeTint="F2"/>
          <w:sz w:val="24"/>
          <w:szCs w:val="24"/>
        </w:rPr>
        <w:t>nonlinear</w:t>
      </w:r>
      <w:r w:rsidR="00E761BE" w:rsidRPr="00B611B1">
        <w:rPr>
          <w:rFonts w:cs="Times New Roman"/>
          <w:color w:val="0D0D0D" w:themeColor="text1" w:themeTint="F2"/>
          <w:sz w:val="24"/>
          <w:szCs w:val="24"/>
        </w:rPr>
        <w:t>ly</w:t>
      </w:r>
      <w:r w:rsidRPr="00B611B1">
        <w:rPr>
          <w:rFonts w:cs="Times New Roman"/>
          <w:color w:val="0D0D0D" w:themeColor="text1" w:themeTint="F2"/>
          <w:sz w:val="24"/>
          <w:szCs w:val="24"/>
        </w:rPr>
        <w:t xml:space="preserve"> with great variance in-and-between </w:t>
      </w:r>
      <w:r w:rsidR="00E761BE" w:rsidRPr="00B611B1">
        <w:rPr>
          <w:rFonts w:cs="Times New Roman"/>
          <w:color w:val="0D0D0D" w:themeColor="text1" w:themeTint="F2"/>
          <w:sz w:val="24"/>
          <w:szCs w:val="24"/>
        </w:rPr>
        <w:t xml:space="preserve">the </w:t>
      </w:r>
      <w:r w:rsidRPr="00B611B1">
        <w:rPr>
          <w:rFonts w:cs="Times New Roman"/>
          <w:color w:val="0D0D0D" w:themeColor="text1" w:themeTint="F2"/>
          <w:sz w:val="24"/>
          <w:szCs w:val="24"/>
        </w:rPr>
        <w:t>stages and steps</w:t>
      </w:r>
      <w:r w:rsidR="00E761BE" w:rsidRPr="00B611B1">
        <w:rPr>
          <w:rFonts w:cs="Times New Roman"/>
          <w:color w:val="0D0D0D" w:themeColor="text1" w:themeTint="F2"/>
          <w:sz w:val="24"/>
          <w:szCs w:val="24"/>
        </w:rPr>
        <w:t xml:space="preserve"> </w:t>
      </w:r>
      <w:r w:rsidR="003F3872">
        <w:rPr>
          <w:rFonts w:cs="Times New Roman"/>
          <w:color w:val="0D0D0D" w:themeColor="text1" w:themeTint="F2"/>
          <w:sz w:val="24"/>
          <w:szCs w:val="24"/>
        </w:rPr>
        <w:t>towards an ultimate outcome of</w:t>
      </w:r>
      <w:r w:rsidR="00E761BE" w:rsidRPr="00B611B1">
        <w:rPr>
          <w:rFonts w:cs="Times New Roman"/>
          <w:color w:val="0D0D0D" w:themeColor="text1" w:themeTint="F2"/>
          <w:sz w:val="24"/>
          <w:szCs w:val="24"/>
        </w:rPr>
        <w:t xml:space="preserve"> sustainability</w:t>
      </w:r>
      <w:r w:rsidRPr="00B611B1">
        <w:rPr>
          <w:rFonts w:cs="Times New Roman"/>
          <w:color w:val="0D0D0D" w:themeColor="text1" w:themeTint="F2"/>
          <w:sz w:val="24"/>
          <w:szCs w:val="24"/>
        </w:rPr>
        <w:t>.</w:t>
      </w:r>
    </w:p>
    <w:p w:rsidR="000901DE" w:rsidRPr="00860D9B" w:rsidRDefault="000901DE" w:rsidP="00E761BE">
      <w:pPr>
        <w:pStyle w:val="Heading2"/>
        <w:spacing w:line="360" w:lineRule="auto"/>
        <w:rPr>
          <w:color w:val="auto"/>
          <w:sz w:val="24"/>
        </w:rPr>
      </w:pPr>
      <w:r w:rsidRPr="00860D9B">
        <w:rPr>
          <w:color w:val="auto"/>
          <w:sz w:val="24"/>
        </w:rPr>
        <w:lastRenderedPageBreak/>
        <w:t>I. Exploration Stage – needs assessment to determine need for change and intervention</w:t>
      </w:r>
    </w:p>
    <w:p w:rsidR="000901DE" w:rsidRPr="00B611B1" w:rsidRDefault="000901DE" w:rsidP="00E761BE">
      <w:pPr>
        <w:pStyle w:val="ListParagraph"/>
        <w:numPr>
          <w:ilvl w:val="0"/>
          <w:numId w:val="9"/>
        </w:numPr>
        <w:spacing w:after="0" w:line="240" w:lineRule="auto"/>
        <w:rPr>
          <w:rFonts w:cs="Times New Roman"/>
          <w:color w:val="0D0D0D" w:themeColor="text1" w:themeTint="F2"/>
          <w:szCs w:val="20"/>
        </w:rPr>
      </w:pPr>
      <w:r w:rsidRPr="00B611B1">
        <w:rPr>
          <w:rFonts w:cs="Times New Roman"/>
          <w:color w:val="0D0D0D" w:themeColor="text1" w:themeTint="F2"/>
          <w:szCs w:val="20"/>
        </w:rPr>
        <w:t>Disseminate project-based information and materials through in-person conferences and workshops, online webinars, and social and professional networks in order to gauge interest and need for EIT intervention.</w:t>
      </w:r>
    </w:p>
    <w:p w:rsidR="000901DE" w:rsidRPr="00B611B1" w:rsidRDefault="000901DE" w:rsidP="00E761BE">
      <w:pPr>
        <w:pStyle w:val="ListParagraph"/>
        <w:numPr>
          <w:ilvl w:val="0"/>
          <w:numId w:val="9"/>
        </w:numPr>
        <w:spacing w:after="0" w:line="240" w:lineRule="auto"/>
        <w:rPr>
          <w:rFonts w:cs="Times New Roman"/>
          <w:color w:val="0D0D0D" w:themeColor="text1" w:themeTint="F2"/>
          <w:szCs w:val="20"/>
        </w:rPr>
      </w:pPr>
      <w:r w:rsidRPr="00B611B1">
        <w:rPr>
          <w:rFonts w:cs="Times New Roman"/>
          <w:color w:val="0D0D0D" w:themeColor="text1" w:themeTint="F2"/>
          <w:szCs w:val="20"/>
        </w:rPr>
        <w:t xml:space="preserve">Collect contact information and EIT Implementation </w:t>
      </w:r>
      <w:r w:rsidR="00B611B1" w:rsidRPr="00B611B1">
        <w:rPr>
          <w:rFonts w:cs="Times New Roman"/>
          <w:color w:val="0D0D0D" w:themeColor="text1" w:themeTint="F2"/>
          <w:szCs w:val="20"/>
        </w:rPr>
        <w:t xml:space="preserve">Site Application </w:t>
      </w:r>
      <w:r w:rsidRPr="00B611B1">
        <w:rPr>
          <w:rFonts w:cs="Times New Roman"/>
          <w:color w:val="0D0D0D" w:themeColor="text1" w:themeTint="F2"/>
          <w:szCs w:val="20"/>
        </w:rPr>
        <w:t>from interested sc</w:t>
      </w:r>
      <w:r w:rsidR="00E25D95">
        <w:rPr>
          <w:rFonts w:cs="Times New Roman"/>
          <w:color w:val="0D0D0D" w:themeColor="text1" w:themeTint="F2"/>
          <w:szCs w:val="20"/>
        </w:rPr>
        <w:t>hool/</w:t>
      </w:r>
      <w:r w:rsidRPr="00B611B1">
        <w:rPr>
          <w:rFonts w:cs="Times New Roman"/>
          <w:color w:val="0D0D0D" w:themeColor="text1" w:themeTint="F2"/>
          <w:szCs w:val="20"/>
        </w:rPr>
        <w:t>district personnel.</w:t>
      </w:r>
    </w:p>
    <w:p w:rsidR="000901DE" w:rsidRPr="00B611B1" w:rsidRDefault="000901DE" w:rsidP="00E761BE">
      <w:pPr>
        <w:pStyle w:val="ListParagraph"/>
        <w:numPr>
          <w:ilvl w:val="0"/>
          <w:numId w:val="9"/>
        </w:numPr>
        <w:spacing w:after="0" w:line="240" w:lineRule="auto"/>
        <w:rPr>
          <w:rFonts w:cs="Times New Roman"/>
          <w:color w:val="0D0D0D" w:themeColor="text1" w:themeTint="F2"/>
          <w:szCs w:val="20"/>
        </w:rPr>
      </w:pPr>
      <w:r w:rsidRPr="00B611B1">
        <w:rPr>
          <w:rFonts w:cs="Times New Roman"/>
          <w:color w:val="0D0D0D" w:themeColor="text1" w:themeTint="F2"/>
          <w:szCs w:val="20"/>
        </w:rPr>
        <w:t>Send additional project-based information and materials to interested school/district personnel, including instructions for previewing the online FREE EIT intervention.</w:t>
      </w:r>
    </w:p>
    <w:p w:rsidR="000901DE" w:rsidRPr="00B611B1" w:rsidRDefault="000901DE" w:rsidP="00E761BE">
      <w:pPr>
        <w:pStyle w:val="ListParagraph"/>
        <w:numPr>
          <w:ilvl w:val="0"/>
          <w:numId w:val="9"/>
        </w:numPr>
        <w:spacing w:after="0" w:line="240" w:lineRule="auto"/>
        <w:rPr>
          <w:rFonts w:cs="Times New Roman"/>
          <w:color w:val="0D0D0D" w:themeColor="text1" w:themeTint="F2"/>
          <w:szCs w:val="20"/>
        </w:rPr>
      </w:pPr>
      <w:r w:rsidRPr="00B611B1">
        <w:rPr>
          <w:rFonts w:cs="Times New Roman"/>
          <w:color w:val="0D0D0D" w:themeColor="text1" w:themeTint="F2"/>
          <w:szCs w:val="20"/>
        </w:rPr>
        <w:t>Share research to date that establishes a basis for EIT as an Evidence-Based Practice (EBP)</w:t>
      </w:r>
      <w:r w:rsidR="00E25D95">
        <w:rPr>
          <w:rFonts w:cs="Times New Roman"/>
          <w:color w:val="0D0D0D" w:themeColor="text1" w:themeTint="F2"/>
          <w:szCs w:val="20"/>
        </w:rPr>
        <w:t xml:space="preserve"> and explains how the intervention benefits key stakeholders</w:t>
      </w:r>
      <w:r w:rsidR="00B611B1">
        <w:rPr>
          <w:rFonts w:cs="Times New Roman"/>
          <w:color w:val="0D0D0D" w:themeColor="text1" w:themeTint="F2"/>
          <w:szCs w:val="20"/>
        </w:rPr>
        <w:t>,</w:t>
      </w:r>
      <w:r w:rsidRPr="00B611B1">
        <w:rPr>
          <w:rFonts w:cs="Times New Roman"/>
          <w:color w:val="0D0D0D" w:themeColor="text1" w:themeTint="F2"/>
          <w:szCs w:val="20"/>
        </w:rPr>
        <w:t xml:space="preserve"> </w:t>
      </w:r>
      <w:r w:rsidR="00E25D95">
        <w:rPr>
          <w:rFonts w:cs="Times New Roman"/>
          <w:color w:val="0D0D0D" w:themeColor="text1" w:themeTint="F2"/>
          <w:szCs w:val="20"/>
        </w:rPr>
        <w:t xml:space="preserve">incorporating </w:t>
      </w:r>
      <w:r w:rsidR="00E25D95" w:rsidRPr="00B611B1">
        <w:rPr>
          <w:rFonts w:cs="Times New Roman"/>
          <w:color w:val="0D0D0D" w:themeColor="text1" w:themeTint="F2"/>
          <w:szCs w:val="20"/>
        </w:rPr>
        <w:t>student and teacher testimonials</w:t>
      </w:r>
      <w:r w:rsidRPr="00B611B1">
        <w:rPr>
          <w:rFonts w:cs="Times New Roman"/>
          <w:color w:val="0D0D0D" w:themeColor="text1" w:themeTint="F2"/>
          <w:szCs w:val="20"/>
        </w:rPr>
        <w:t>.</w:t>
      </w:r>
    </w:p>
    <w:p w:rsidR="000901DE" w:rsidRPr="00B611B1" w:rsidRDefault="000901DE" w:rsidP="00E761BE">
      <w:pPr>
        <w:pStyle w:val="ListParagraph"/>
        <w:numPr>
          <w:ilvl w:val="0"/>
          <w:numId w:val="9"/>
        </w:numPr>
        <w:spacing w:after="0" w:line="240" w:lineRule="auto"/>
        <w:rPr>
          <w:rFonts w:cs="Times New Roman"/>
          <w:color w:val="0D0D0D" w:themeColor="text1" w:themeTint="F2"/>
          <w:szCs w:val="20"/>
        </w:rPr>
      </w:pPr>
      <w:r w:rsidRPr="00B611B1">
        <w:rPr>
          <w:rFonts w:cs="Times New Roman"/>
          <w:color w:val="0D0D0D" w:themeColor="text1" w:themeTint="F2"/>
          <w:szCs w:val="20"/>
        </w:rPr>
        <w:t>Begin to develop partnerships with key stakeholders in LEA and identify champions (those most enthusiastic about and receptive to the intervention) at each level of systems change (such as a classroom teacher, school principal, and district curriculum director) to facilitate adoption.</w:t>
      </w:r>
    </w:p>
    <w:p w:rsidR="000901DE" w:rsidRPr="00B611B1" w:rsidRDefault="000901DE" w:rsidP="00E761BE">
      <w:pPr>
        <w:pStyle w:val="ListParagraph"/>
        <w:numPr>
          <w:ilvl w:val="0"/>
          <w:numId w:val="9"/>
        </w:numPr>
        <w:spacing w:after="0" w:line="240" w:lineRule="auto"/>
        <w:rPr>
          <w:rFonts w:cs="Times New Roman"/>
          <w:color w:val="0D0D0D" w:themeColor="text1" w:themeTint="F2"/>
          <w:szCs w:val="20"/>
        </w:rPr>
      </w:pPr>
      <w:r w:rsidRPr="00B611B1">
        <w:rPr>
          <w:rFonts w:cs="Times New Roman"/>
          <w:color w:val="0D0D0D" w:themeColor="text1" w:themeTint="F2"/>
          <w:szCs w:val="20"/>
        </w:rPr>
        <w:t>Identify mechanisms to acquire needed administrative support/approval for EIT implementation.</w:t>
      </w:r>
    </w:p>
    <w:p w:rsidR="00E57111" w:rsidRPr="00E57111" w:rsidRDefault="00E57111" w:rsidP="00E57111">
      <w:pPr>
        <w:pStyle w:val="ListParagraph"/>
        <w:numPr>
          <w:ilvl w:val="0"/>
          <w:numId w:val="9"/>
        </w:numPr>
        <w:spacing w:after="0" w:line="240" w:lineRule="auto"/>
        <w:rPr>
          <w:rFonts w:cs="Times New Roman"/>
          <w:color w:val="0D0D0D" w:themeColor="text1" w:themeTint="F2"/>
        </w:rPr>
      </w:pPr>
      <w:r w:rsidRPr="00E57111">
        <w:rPr>
          <w:rFonts w:cs="Times New Roman"/>
          <w:color w:val="0D0D0D" w:themeColor="text1" w:themeTint="F2"/>
        </w:rPr>
        <w:t>Evaluate, and when feasible, implement ideas that would contribute to intervention viability, credibility, and scale-up as an EBP, including ideas that would align intervention to local, state, and national partners and policies and build organizational capacity.</w:t>
      </w:r>
    </w:p>
    <w:p w:rsidR="00B611B1" w:rsidRDefault="00B611B1" w:rsidP="00B611B1">
      <w:pPr>
        <w:spacing w:after="0" w:line="240" w:lineRule="auto"/>
        <w:rPr>
          <w:sz w:val="24"/>
        </w:rPr>
      </w:pPr>
    </w:p>
    <w:p w:rsidR="000901DE" w:rsidRPr="00860D9B" w:rsidRDefault="000901DE" w:rsidP="00B611B1">
      <w:pPr>
        <w:spacing w:after="0" w:line="240" w:lineRule="auto"/>
        <w:rPr>
          <w:rFonts w:asciiTheme="majorHAnsi" w:hAnsiTheme="majorHAnsi" w:cs="Times New Roman"/>
          <w:b/>
          <w:color w:val="0D0D0D" w:themeColor="text1" w:themeTint="F2"/>
          <w:szCs w:val="20"/>
        </w:rPr>
      </w:pPr>
      <w:r w:rsidRPr="00860D9B">
        <w:rPr>
          <w:rFonts w:asciiTheme="majorHAnsi" w:hAnsiTheme="majorHAnsi"/>
          <w:b/>
          <w:sz w:val="24"/>
        </w:rPr>
        <w:t xml:space="preserve">II. Installation </w:t>
      </w:r>
      <w:r w:rsidR="00AF6498" w:rsidRPr="00860D9B">
        <w:rPr>
          <w:rFonts w:asciiTheme="majorHAnsi" w:hAnsiTheme="majorHAnsi"/>
          <w:b/>
          <w:sz w:val="24"/>
        </w:rPr>
        <w:t xml:space="preserve">Stage </w:t>
      </w:r>
      <w:r w:rsidRPr="00860D9B">
        <w:rPr>
          <w:rFonts w:asciiTheme="majorHAnsi" w:hAnsiTheme="majorHAnsi"/>
          <w:b/>
          <w:sz w:val="24"/>
        </w:rPr>
        <w:t>– planning for intervention</w:t>
      </w:r>
      <w:r w:rsidR="00AF6498" w:rsidRPr="00860D9B">
        <w:rPr>
          <w:rFonts w:asciiTheme="majorHAnsi" w:hAnsiTheme="majorHAnsi"/>
          <w:b/>
          <w:sz w:val="24"/>
        </w:rPr>
        <w:t>,</w:t>
      </w:r>
      <w:r w:rsidRPr="00860D9B">
        <w:rPr>
          <w:rFonts w:asciiTheme="majorHAnsi" w:hAnsiTheme="majorHAnsi"/>
          <w:b/>
          <w:sz w:val="24"/>
        </w:rPr>
        <w:t xml:space="preserve"> including identification of resources</w:t>
      </w:r>
    </w:p>
    <w:p w:rsidR="000901DE" w:rsidRPr="00B611B1" w:rsidRDefault="000901DE" w:rsidP="000901DE">
      <w:pPr>
        <w:pStyle w:val="ListParagraph"/>
        <w:numPr>
          <w:ilvl w:val="0"/>
          <w:numId w:val="10"/>
        </w:numPr>
        <w:spacing w:after="0" w:line="240" w:lineRule="auto"/>
        <w:rPr>
          <w:rFonts w:cs="Times New Roman"/>
          <w:color w:val="0D0D0D" w:themeColor="text1" w:themeTint="F2"/>
          <w:szCs w:val="24"/>
        </w:rPr>
      </w:pPr>
      <w:r w:rsidRPr="00B611B1">
        <w:rPr>
          <w:rFonts w:cs="Times New Roman"/>
          <w:color w:val="0D0D0D" w:themeColor="text1" w:themeTint="F2"/>
          <w:szCs w:val="24"/>
        </w:rPr>
        <w:t>Continue to develop partnerships with key stakeholders in LEA and continue to identify champions (those most enthusiastic about and receptive to the intervention) at each level of systems change (such as a classroom teacher, school principal, and district curriculum director) to facilitate adoption.</w:t>
      </w:r>
    </w:p>
    <w:p w:rsidR="000901DE" w:rsidRPr="00B611B1" w:rsidRDefault="000901DE" w:rsidP="000901DE">
      <w:pPr>
        <w:pStyle w:val="ListParagraph"/>
        <w:numPr>
          <w:ilvl w:val="0"/>
          <w:numId w:val="10"/>
        </w:numPr>
        <w:spacing w:after="0" w:line="240" w:lineRule="auto"/>
        <w:rPr>
          <w:rFonts w:cs="Times New Roman"/>
          <w:color w:val="0D0D0D" w:themeColor="text1" w:themeTint="F2"/>
          <w:szCs w:val="24"/>
        </w:rPr>
      </w:pPr>
      <w:r w:rsidRPr="00B611B1">
        <w:rPr>
          <w:rFonts w:cs="Times New Roman"/>
          <w:color w:val="0D0D0D" w:themeColor="text1" w:themeTint="F2"/>
          <w:szCs w:val="24"/>
        </w:rPr>
        <w:t xml:space="preserve">Work with school/district personnel via meetings and conference calls to determine suitability of EIT intervention and setting where EIT would best fit at a site given student/teacher/school needs and resources. </w:t>
      </w:r>
    </w:p>
    <w:p w:rsidR="000901DE" w:rsidRPr="00B611B1" w:rsidRDefault="000901DE" w:rsidP="000901DE">
      <w:pPr>
        <w:pStyle w:val="ListParagraph"/>
        <w:numPr>
          <w:ilvl w:val="0"/>
          <w:numId w:val="10"/>
        </w:numPr>
        <w:spacing w:after="0" w:line="240" w:lineRule="auto"/>
        <w:rPr>
          <w:rFonts w:cs="Times New Roman"/>
          <w:color w:val="0D0D0D" w:themeColor="text1" w:themeTint="F2"/>
          <w:szCs w:val="24"/>
        </w:rPr>
      </w:pPr>
      <w:r w:rsidRPr="00B611B1">
        <w:rPr>
          <w:rFonts w:cs="Times New Roman"/>
          <w:color w:val="0D0D0D" w:themeColor="text1" w:themeTint="F2"/>
          <w:szCs w:val="24"/>
        </w:rPr>
        <w:t>Explore pathways to scale-up and sustainability of EIT intervention in LEA that facilitate integrating EIT into district infrastructure such as EIT becoming the established curriculum for a course offered in a district course catalog or online learning management system (LMS).</w:t>
      </w:r>
    </w:p>
    <w:p w:rsidR="000901DE" w:rsidRPr="00B611B1" w:rsidRDefault="000901DE" w:rsidP="000901DE">
      <w:pPr>
        <w:pStyle w:val="ListParagraph"/>
        <w:numPr>
          <w:ilvl w:val="0"/>
          <w:numId w:val="10"/>
        </w:numPr>
        <w:spacing w:after="0" w:line="240" w:lineRule="auto"/>
        <w:rPr>
          <w:rFonts w:cs="Times New Roman"/>
          <w:color w:val="0D0D0D" w:themeColor="text1" w:themeTint="F2"/>
          <w:szCs w:val="24"/>
        </w:rPr>
      </w:pPr>
      <w:r w:rsidRPr="00B611B1">
        <w:rPr>
          <w:rFonts w:cs="Times New Roman"/>
          <w:color w:val="0D0D0D" w:themeColor="text1" w:themeTint="F2"/>
          <w:szCs w:val="24"/>
        </w:rPr>
        <w:t xml:space="preserve">Identify specific </w:t>
      </w:r>
      <w:proofErr w:type="gramStart"/>
      <w:r w:rsidRPr="00B611B1">
        <w:rPr>
          <w:rFonts w:cs="Times New Roman"/>
          <w:color w:val="0D0D0D" w:themeColor="text1" w:themeTint="F2"/>
          <w:szCs w:val="24"/>
        </w:rPr>
        <w:t>teachers,</w:t>
      </w:r>
      <w:proofErr w:type="gramEnd"/>
      <w:r w:rsidRPr="00B611B1">
        <w:rPr>
          <w:rFonts w:cs="Times New Roman"/>
          <w:color w:val="0D0D0D" w:themeColor="text1" w:themeTint="F2"/>
          <w:szCs w:val="24"/>
        </w:rPr>
        <w:t xml:space="preserve"> students, and classroom logistics for EIT intervention implementation based on premise that initial pilot should help build capacity for scaling-up to other settings in or across sites in LEA.</w:t>
      </w:r>
    </w:p>
    <w:p w:rsidR="00E57111" w:rsidRPr="00E57111" w:rsidRDefault="00E57111" w:rsidP="00E57111">
      <w:pPr>
        <w:pStyle w:val="ListParagraph"/>
        <w:numPr>
          <w:ilvl w:val="0"/>
          <w:numId w:val="10"/>
        </w:numPr>
        <w:spacing w:after="0" w:line="240" w:lineRule="auto"/>
        <w:rPr>
          <w:rFonts w:cs="Times New Roman"/>
          <w:color w:val="0D0D0D" w:themeColor="text1" w:themeTint="F2"/>
        </w:rPr>
      </w:pPr>
      <w:r w:rsidRPr="00E57111">
        <w:rPr>
          <w:rFonts w:cs="Times New Roman"/>
          <w:color w:val="0D0D0D" w:themeColor="text1" w:themeTint="F2"/>
        </w:rPr>
        <w:t xml:space="preserve">Plan and implement initial training and technical assistance through in-person and online venues to identified EIT intervention teachers, including showing teachers the benefits of EIT, how intervention is an EBP that can enhance the quality of what and how they teach while efficiently meeting instructional goals and standards aligned with district, state, and federal mandates.   </w:t>
      </w:r>
    </w:p>
    <w:p w:rsidR="000901DE" w:rsidRPr="00B611B1" w:rsidRDefault="000901DE" w:rsidP="000901DE">
      <w:pPr>
        <w:pStyle w:val="ListParagraph"/>
        <w:numPr>
          <w:ilvl w:val="0"/>
          <w:numId w:val="10"/>
        </w:numPr>
        <w:spacing w:after="0" w:line="240" w:lineRule="auto"/>
        <w:rPr>
          <w:rFonts w:cs="Times New Roman"/>
          <w:color w:val="0D0D0D" w:themeColor="text1" w:themeTint="F2"/>
          <w:szCs w:val="24"/>
        </w:rPr>
      </w:pPr>
      <w:r w:rsidRPr="00B611B1">
        <w:rPr>
          <w:rFonts w:cs="Times New Roman"/>
          <w:color w:val="0D0D0D" w:themeColor="text1" w:themeTint="F2"/>
          <w:szCs w:val="24"/>
        </w:rPr>
        <w:t>Explain criteria for instructional fidelity as well as project-based requests such as voluntary data collection.</w:t>
      </w:r>
    </w:p>
    <w:p w:rsidR="00B611B1" w:rsidRDefault="000901DE" w:rsidP="00B611B1">
      <w:pPr>
        <w:pStyle w:val="ListParagraph"/>
        <w:numPr>
          <w:ilvl w:val="0"/>
          <w:numId w:val="10"/>
        </w:numPr>
        <w:spacing w:after="0" w:line="240" w:lineRule="auto"/>
        <w:rPr>
          <w:rFonts w:cs="Times New Roman"/>
          <w:color w:val="0D0D0D" w:themeColor="text1" w:themeTint="F2"/>
          <w:szCs w:val="24"/>
        </w:rPr>
      </w:pPr>
      <w:r w:rsidRPr="00B611B1">
        <w:rPr>
          <w:rFonts w:cs="Times New Roman"/>
          <w:color w:val="0D0D0D" w:themeColor="text1" w:themeTint="F2"/>
          <w:szCs w:val="24"/>
        </w:rPr>
        <w:t xml:space="preserve">Recruit other sites as-back up that can also implement the EIT intervention during the desired time period or school year and allow for recruitment of these sites at least 6 months to 1 year prior to implementation. </w:t>
      </w:r>
    </w:p>
    <w:p w:rsidR="00B611B1" w:rsidRDefault="00B611B1" w:rsidP="00B611B1">
      <w:pPr>
        <w:spacing w:after="0" w:line="240" w:lineRule="auto"/>
        <w:rPr>
          <w:sz w:val="24"/>
        </w:rPr>
      </w:pPr>
    </w:p>
    <w:p w:rsidR="000901DE" w:rsidRPr="00860D9B" w:rsidRDefault="000901DE" w:rsidP="00B611B1">
      <w:pPr>
        <w:spacing w:after="0" w:line="240" w:lineRule="auto"/>
        <w:rPr>
          <w:rFonts w:asciiTheme="majorHAnsi" w:hAnsiTheme="majorHAnsi" w:cs="Times New Roman"/>
          <w:b/>
          <w:color w:val="0D0D0D" w:themeColor="text1" w:themeTint="F2"/>
          <w:szCs w:val="24"/>
        </w:rPr>
      </w:pPr>
      <w:r w:rsidRPr="00860D9B">
        <w:rPr>
          <w:rFonts w:asciiTheme="majorHAnsi" w:hAnsiTheme="majorHAnsi"/>
          <w:b/>
          <w:sz w:val="24"/>
        </w:rPr>
        <w:t xml:space="preserve">III. Initial Implementation </w:t>
      </w:r>
      <w:r w:rsidR="00AF6498" w:rsidRPr="00860D9B">
        <w:rPr>
          <w:rFonts w:asciiTheme="majorHAnsi" w:hAnsiTheme="majorHAnsi"/>
          <w:b/>
          <w:sz w:val="24"/>
        </w:rPr>
        <w:t xml:space="preserve">Stage </w:t>
      </w:r>
      <w:r w:rsidRPr="00860D9B">
        <w:rPr>
          <w:rFonts w:asciiTheme="majorHAnsi" w:hAnsiTheme="majorHAnsi"/>
          <w:b/>
          <w:sz w:val="24"/>
        </w:rPr>
        <w:t>– first use of intervention by key stakeholders</w:t>
      </w:r>
    </w:p>
    <w:p w:rsidR="000901DE" w:rsidRPr="00B611B1" w:rsidRDefault="000901DE" w:rsidP="000901DE">
      <w:pPr>
        <w:pStyle w:val="ListParagraph"/>
        <w:numPr>
          <w:ilvl w:val="0"/>
          <w:numId w:val="11"/>
        </w:numPr>
        <w:spacing w:after="0" w:line="240" w:lineRule="auto"/>
        <w:rPr>
          <w:rFonts w:cs="Times New Roman"/>
          <w:color w:val="0D0D0D" w:themeColor="text1" w:themeTint="F2"/>
          <w:szCs w:val="20"/>
        </w:rPr>
      </w:pPr>
      <w:r w:rsidRPr="00B611B1">
        <w:rPr>
          <w:rFonts w:cs="Times New Roman"/>
          <w:color w:val="0D0D0D" w:themeColor="text1" w:themeTint="F2"/>
          <w:szCs w:val="20"/>
        </w:rPr>
        <w:t>Continue to develop partnerships with key stakeholders in LEA and continue to identify champions (those most enthusiastic about and receptive to the intervention) at each level of systems change (such as a classroom teacher, school principal, and district curriculum director) to facilitate adoption.</w:t>
      </w:r>
    </w:p>
    <w:p w:rsidR="000901DE" w:rsidRPr="00B611B1" w:rsidRDefault="000901DE" w:rsidP="000901DE">
      <w:pPr>
        <w:pStyle w:val="ListParagraph"/>
        <w:numPr>
          <w:ilvl w:val="0"/>
          <w:numId w:val="11"/>
        </w:numPr>
        <w:spacing w:after="0" w:line="240" w:lineRule="auto"/>
        <w:rPr>
          <w:rFonts w:cs="Times New Roman"/>
          <w:color w:val="0D0D0D" w:themeColor="text1" w:themeTint="F2"/>
          <w:szCs w:val="20"/>
        </w:rPr>
      </w:pPr>
      <w:r w:rsidRPr="00B611B1">
        <w:rPr>
          <w:rFonts w:cs="Times New Roman"/>
          <w:color w:val="0D0D0D" w:themeColor="text1" w:themeTint="F2"/>
          <w:szCs w:val="20"/>
        </w:rPr>
        <w:t>Determine pathways to scale-up and sustain</w:t>
      </w:r>
      <w:r w:rsidR="00B611B1">
        <w:rPr>
          <w:rFonts w:cs="Times New Roman"/>
          <w:color w:val="0D0D0D" w:themeColor="text1" w:themeTint="F2"/>
          <w:szCs w:val="20"/>
        </w:rPr>
        <w:t xml:space="preserve"> </w:t>
      </w:r>
      <w:r w:rsidRPr="00B611B1">
        <w:rPr>
          <w:rFonts w:cs="Times New Roman"/>
          <w:color w:val="0D0D0D" w:themeColor="text1" w:themeTint="F2"/>
          <w:szCs w:val="20"/>
        </w:rPr>
        <w:t>EIT intervention in LEA that facilitate</w:t>
      </w:r>
      <w:r w:rsidR="00B611B1">
        <w:rPr>
          <w:rFonts w:cs="Times New Roman"/>
          <w:color w:val="0D0D0D" w:themeColor="text1" w:themeTint="F2"/>
          <w:szCs w:val="20"/>
        </w:rPr>
        <w:t>s</w:t>
      </w:r>
      <w:r w:rsidRPr="00B611B1">
        <w:rPr>
          <w:rFonts w:cs="Times New Roman"/>
          <w:color w:val="0D0D0D" w:themeColor="text1" w:themeTint="F2"/>
          <w:szCs w:val="20"/>
        </w:rPr>
        <w:t xml:space="preserve"> integrating EIT into district infrastructure</w:t>
      </w:r>
      <w:r w:rsidR="00B611B1">
        <w:rPr>
          <w:rFonts w:cs="Times New Roman"/>
          <w:color w:val="0D0D0D" w:themeColor="text1" w:themeTint="F2"/>
          <w:szCs w:val="20"/>
        </w:rPr>
        <w:t>,</w:t>
      </w:r>
      <w:r w:rsidRPr="00B611B1">
        <w:rPr>
          <w:rFonts w:cs="Times New Roman"/>
          <w:color w:val="0D0D0D" w:themeColor="text1" w:themeTint="F2"/>
          <w:szCs w:val="20"/>
        </w:rPr>
        <w:t xml:space="preserve"> such as EIT becoming </w:t>
      </w:r>
      <w:r w:rsidR="00B611B1">
        <w:rPr>
          <w:rFonts w:cs="Times New Roman"/>
          <w:color w:val="0D0D0D" w:themeColor="text1" w:themeTint="F2"/>
          <w:szCs w:val="20"/>
        </w:rPr>
        <w:t>an</w:t>
      </w:r>
      <w:r w:rsidRPr="00B611B1">
        <w:rPr>
          <w:rFonts w:cs="Times New Roman"/>
          <w:color w:val="0D0D0D" w:themeColor="text1" w:themeTint="F2"/>
          <w:szCs w:val="20"/>
        </w:rPr>
        <w:t xml:space="preserve"> established curriculum for a course in a district catalog or LMS.</w:t>
      </w:r>
    </w:p>
    <w:p w:rsidR="000901DE" w:rsidRPr="006E14F6" w:rsidRDefault="006E14F6" w:rsidP="006E14F6">
      <w:pPr>
        <w:pStyle w:val="ListParagraph"/>
        <w:numPr>
          <w:ilvl w:val="0"/>
          <w:numId w:val="11"/>
        </w:numPr>
        <w:spacing w:after="0" w:line="240" w:lineRule="auto"/>
        <w:rPr>
          <w:rFonts w:cs="Times New Roman"/>
          <w:color w:val="0D0D0D" w:themeColor="text1" w:themeTint="F2"/>
        </w:rPr>
      </w:pPr>
      <w:r w:rsidRPr="006E14F6">
        <w:rPr>
          <w:rFonts w:cs="Times New Roman"/>
          <w:color w:val="0D0D0D" w:themeColor="text1" w:themeTint="F2"/>
        </w:rPr>
        <w:t xml:space="preserve">Reach out and partner with local and state organizations (such as IHEs, state departments of education, private nonprofit agencies, and education training/support centers) to leverage additional resources for scale-up, dissemination, and sustainability across LEAs (such as funding, website space, etc.), especially in regards to leveraging current initiatives, policies, or practices of key partners. </w:t>
      </w:r>
      <w:r w:rsidR="000901DE" w:rsidRPr="006E14F6">
        <w:rPr>
          <w:rFonts w:cs="Times New Roman"/>
          <w:color w:val="0D0D0D" w:themeColor="text1" w:themeTint="F2"/>
        </w:rPr>
        <w:t xml:space="preserve"> </w:t>
      </w:r>
    </w:p>
    <w:p w:rsidR="000901DE" w:rsidRPr="00B611B1" w:rsidRDefault="000901DE" w:rsidP="000901DE">
      <w:pPr>
        <w:pStyle w:val="ListParagraph"/>
        <w:numPr>
          <w:ilvl w:val="0"/>
          <w:numId w:val="11"/>
        </w:numPr>
        <w:spacing w:after="0" w:line="240" w:lineRule="auto"/>
        <w:rPr>
          <w:rFonts w:cs="Times New Roman"/>
          <w:color w:val="0D0D0D" w:themeColor="text1" w:themeTint="F2"/>
          <w:szCs w:val="20"/>
        </w:rPr>
      </w:pPr>
      <w:r w:rsidRPr="00B611B1">
        <w:rPr>
          <w:rFonts w:cs="Times New Roman"/>
          <w:color w:val="0D0D0D" w:themeColor="text1" w:themeTint="F2"/>
          <w:szCs w:val="20"/>
        </w:rPr>
        <w:t xml:space="preserve">Provide ongoing training and technical assistance to teachers/sites to enhance fidelity and develop professional development materials that help teachers/sites scale-up and sustain the intervention. </w:t>
      </w:r>
    </w:p>
    <w:p w:rsidR="000901DE" w:rsidRPr="00B611B1" w:rsidRDefault="000901DE" w:rsidP="000901DE">
      <w:pPr>
        <w:pStyle w:val="ListParagraph"/>
        <w:numPr>
          <w:ilvl w:val="0"/>
          <w:numId w:val="11"/>
        </w:numPr>
        <w:spacing w:after="0" w:line="240" w:lineRule="auto"/>
        <w:rPr>
          <w:rFonts w:cs="Times New Roman"/>
          <w:color w:val="0D0D0D" w:themeColor="text1" w:themeTint="F2"/>
          <w:szCs w:val="20"/>
        </w:rPr>
      </w:pPr>
      <w:r w:rsidRPr="00B611B1">
        <w:rPr>
          <w:rFonts w:cs="Times New Roman"/>
          <w:color w:val="0D0D0D" w:themeColor="text1" w:themeTint="F2"/>
          <w:szCs w:val="20"/>
        </w:rPr>
        <w:t>Collect data to evaluate EIT and refine the intervention based on feedback from key stakeholders such as students, teachers, parents, and school/district administrators.</w:t>
      </w:r>
    </w:p>
    <w:p w:rsidR="000901DE" w:rsidRPr="00B611B1" w:rsidRDefault="000901DE" w:rsidP="000901DE">
      <w:pPr>
        <w:pStyle w:val="ListParagraph"/>
        <w:numPr>
          <w:ilvl w:val="0"/>
          <w:numId w:val="11"/>
        </w:numPr>
        <w:spacing w:after="0" w:line="240" w:lineRule="auto"/>
        <w:rPr>
          <w:rFonts w:cs="Times New Roman"/>
          <w:color w:val="0D0D0D" w:themeColor="text1" w:themeTint="F2"/>
          <w:szCs w:val="20"/>
        </w:rPr>
      </w:pPr>
      <w:r w:rsidRPr="00B611B1">
        <w:rPr>
          <w:rFonts w:cs="Times New Roman"/>
          <w:color w:val="0D0D0D" w:themeColor="text1" w:themeTint="F2"/>
          <w:szCs w:val="20"/>
        </w:rPr>
        <w:lastRenderedPageBreak/>
        <w:t xml:space="preserve">Recruit other sites as-back up that can also implement the EIT intervention during the desired time period or school year and allow for recruitment of these sites at least 6 months to 1 year prior to implementation. </w:t>
      </w:r>
    </w:p>
    <w:p w:rsidR="00AF6498" w:rsidRPr="001371A1" w:rsidRDefault="000901DE" w:rsidP="000901DE">
      <w:pPr>
        <w:pStyle w:val="ListParagraph"/>
        <w:numPr>
          <w:ilvl w:val="0"/>
          <w:numId w:val="11"/>
        </w:numPr>
        <w:spacing w:after="0" w:line="240" w:lineRule="auto"/>
        <w:rPr>
          <w:rFonts w:cs="Times New Roman"/>
          <w:color w:val="0D0D0D" w:themeColor="text1" w:themeTint="F2"/>
          <w:szCs w:val="20"/>
        </w:rPr>
      </w:pPr>
      <w:r w:rsidRPr="00B611B1">
        <w:rPr>
          <w:rFonts w:cs="Times New Roman"/>
          <w:color w:val="0D0D0D" w:themeColor="text1" w:themeTint="F2"/>
          <w:szCs w:val="20"/>
        </w:rPr>
        <w:t xml:space="preserve">Share </w:t>
      </w:r>
      <w:proofErr w:type="gramStart"/>
      <w:r w:rsidRPr="00B611B1">
        <w:rPr>
          <w:rFonts w:cs="Times New Roman"/>
          <w:color w:val="0D0D0D" w:themeColor="text1" w:themeTint="F2"/>
          <w:szCs w:val="20"/>
        </w:rPr>
        <w:t>data-based</w:t>
      </w:r>
      <w:proofErr w:type="gramEnd"/>
      <w:r w:rsidRPr="00B611B1">
        <w:rPr>
          <w:rFonts w:cs="Times New Roman"/>
          <w:color w:val="0D0D0D" w:themeColor="text1" w:themeTint="F2"/>
          <w:szCs w:val="20"/>
        </w:rPr>
        <w:t xml:space="preserve"> results in a readable, usable format with key stakeholders (such as teachers and administrators in LEA and in other LEAs) and partners (such as state departments) so they know impact of EIT intervention and can make data-based decisions about intervention scale-up and sustainability.</w:t>
      </w:r>
    </w:p>
    <w:p w:rsidR="000901DE" w:rsidRPr="00860D9B" w:rsidRDefault="000901DE" w:rsidP="00B611B1">
      <w:pPr>
        <w:pStyle w:val="Heading2"/>
        <w:spacing w:line="360" w:lineRule="auto"/>
        <w:rPr>
          <w:color w:val="auto"/>
          <w:sz w:val="24"/>
        </w:rPr>
      </w:pPr>
      <w:r w:rsidRPr="00860D9B">
        <w:rPr>
          <w:color w:val="auto"/>
          <w:sz w:val="24"/>
        </w:rPr>
        <w:t xml:space="preserve">IV. Full Implementation </w:t>
      </w:r>
      <w:r w:rsidR="00AF6498" w:rsidRPr="00860D9B">
        <w:rPr>
          <w:color w:val="auto"/>
          <w:sz w:val="24"/>
        </w:rPr>
        <w:t xml:space="preserve">Stage </w:t>
      </w:r>
      <w:r w:rsidRPr="00860D9B">
        <w:rPr>
          <w:color w:val="auto"/>
          <w:sz w:val="24"/>
        </w:rPr>
        <w:t>– strategic adoption/integration of intervention across sites</w:t>
      </w:r>
    </w:p>
    <w:p w:rsidR="000901DE" w:rsidRPr="001371A1" w:rsidRDefault="000901DE" w:rsidP="000901DE">
      <w:pPr>
        <w:pStyle w:val="ListParagraph"/>
        <w:numPr>
          <w:ilvl w:val="0"/>
          <w:numId w:val="11"/>
        </w:numPr>
        <w:spacing w:after="0" w:line="240" w:lineRule="auto"/>
        <w:rPr>
          <w:rFonts w:cs="Times New Roman"/>
          <w:color w:val="0D0D0D" w:themeColor="text1" w:themeTint="F2"/>
          <w:szCs w:val="20"/>
        </w:rPr>
      </w:pPr>
      <w:r w:rsidRPr="001371A1">
        <w:rPr>
          <w:rFonts w:cs="Times New Roman"/>
          <w:color w:val="0D0D0D" w:themeColor="text1" w:themeTint="F2"/>
          <w:szCs w:val="20"/>
        </w:rPr>
        <w:t xml:space="preserve">Promote teacher and administrator champions to other key stakeholders via letters of commendation and invite champions to participate in project activities so as to build momentum for EIT implementation and scale-up at other sites in and across LEAs. </w:t>
      </w:r>
    </w:p>
    <w:p w:rsidR="000901DE" w:rsidRPr="001371A1" w:rsidRDefault="000901DE" w:rsidP="000901DE">
      <w:pPr>
        <w:pStyle w:val="ListParagraph"/>
        <w:numPr>
          <w:ilvl w:val="0"/>
          <w:numId w:val="11"/>
        </w:numPr>
        <w:spacing w:after="0" w:line="240" w:lineRule="auto"/>
        <w:rPr>
          <w:rFonts w:cs="Times New Roman"/>
          <w:color w:val="0D0D0D" w:themeColor="text1" w:themeTint="F2"/>
          <w:szCs w:val="20"/>
        </w:rPr>
      </w:pPr>
      <w:r w:rsidRPr="001371A1">
        <w:rPr>
          <w:rFonts w:cs="Times New Roman"/>
          <w:color w:val="0D0D0D" w:themeColor="text1" w:themeTint="F2"/>
          <w:szCs w:val="20"/>
        </w:rPr>
        <w:t xml:space="preserve">Refine professional development materials that help teachers/sites scale-up and sustain the intervention based on feedback from initial implementation. </w:t>
      </w:r>
    </w:p>
    <w:p w:rsidR="000901DE" w:rsidRPr="001371A1" w:rsidRDefault="000901DE" w:rsidP="000901DE">
      <w:pPr>
        <w:pStyle w:val="ListParagraph"/>
        <w:numPr>
          <w:ilvl w:val="0"/>
          <w:numId w:val="11"/>
        </w:numPr>
        <w:spacing w:after="0" w:line="240" w:lineRule="auto"/>
        <w:rPr>
          <w:rFonts w:cs="Times New Roman"/>
          <w:color w:val="0D0D0D" w:themeColor="text1" w:themeTint="F2"/>
          <w:szCs w:val="20"/>
        </w:rPr>
      </w:pPr>
      <w:r w:rsidRPr="001371A1">
        <w:rPr>
          <w:rFonts w:cs="Times New Roman"/>
          <w:color w:val="0D0D0D" w:themeColor="text1" w:themeTint="F2"/>
          <w:szCs w:val="20"/>
        </w:rPr>
        <w:t>Scale-up and sustain EIT intervention in LEA using chosen pathways that facilitate integrating EIT into district infrastructure such as EIT becoming the established curriculum for a course offered in a district catalog or LMS.</w:t>
      </w:r>
    </w:p>
    <w:p w:rsidR="000901DE" w:rsidRPr="001371A1" w:rsidRDefault="000901DE" w:rsidP="000901DE">
      <w:pPr>
        <w:pStyle w:val="ListParagraph"/>
        <w:numPr>
          <w:ilvl w:val="0"/>
          <w:numId w:val="11"/>
        </w:numPr>
        <w:spacing w:after="0" w:line="240" w:lineRule="auto"/>
        <w:rPr>
          <w:rFonts w:cs="Times New Roman"/>
          <w:color w:val="0D0D0D" w:themeColor="text1" w:themeTint="F2"/>
          <w:szCs w:val="20"/>
        </w:rPr>
      </w:pPr>
      <w:r w:rsidRPr="001371A1">
        <w:rPr>
          <w:rFonts w:cs="Times New Roman"/>
          <w:color w:val="0D0D0D" w:themeColor="text1" w:themeTint="F2"/>
          <w:szCs w:val="20"/>
        </w:rPr>
        <w:t>Disseminate EIT as a FREE evidence-based package that includes online curricula and professional development materials for key stakeholders in LEAs through local, state, and national partner venues.</w:t>
      </w:r>
    </w:p>
    <w:p w:rsidR="000901DE" w:rsidRPr="001371A1" w:rsidRDefault="000901DE" w:rsidP="000901DE">
      <w:pPr>
        <w:pStyle w:val="ListParagraph"/>
        <w:numPr>
          <w:ilvl w:val="0"/>
          <w:numId w:val="11"/>
        </w:numPr>
        <w:spacing w:after="0" w:line="240" w:lineRule="auto"/>
        <w:rPr>
          <w:rFonts w:cs="Times New Roman"/>
          <w:color w:val="0D0D0D" w:themeColor="text1" w:themeTint="F2"/>
          <w:szCs w:val="20"/>
        </w:rPr>
      </w:pPr>
      <w:r w:rsidRPr="001371A1">
        <w:rPr>
          <w:rFonts w:cs="Times New Roman"/>
          <w:color w:val="0D0D0D" w:themeColor="text1" w:themeTint="F2"/>
          <w:szCs w:val="20"/>
        </w:rPr>
        <w:t>Collect data to evaluate EIT intervention if applicable.</w:t>
      </w:r>
    </w:p>
    <w:p w:rsidR="000901DE" w:rsidRPr="001371A1" w:rsidRDefault="000901DE" w:rsidP="000901DE">
      <w:pPr>
        <w:pStyle w:val="ListParagraph"/>
        <w:numPr>
          <w:ilvl w:val="0"/>
          <w:numId w:val="11"/>
        </w:numPr>
        <w:spacing w:after="0" w:line="240" w:lineRule="auto"/>
        <w:rPr>
          <w:rFonts w:cs="Times New Roman"/>
          <w:color w:val="0D0D0D" w:themeColor="text1" w:themeTint="F2"/>
          <w:szCs w:val="20"/>
        </w:rPr>
      </w:pPr>
      <w:r w:rsidRPr="001371A1">
        <w:rPr>
          <w:rFonts w:cs="Times New Roman"/>
          <w:color w:val="0D0D0D" w:themeColor="text1" w:themeTint="F2"/>
          <w:szCs w:val="20"/>
        </w:rPr>
        <w:t xml:space="preserve">Share </w:t>
      </w:r>
      <w:proofErr w:type="gramStart"/>
      <w:r w:rsidRPr="001371A1">
        <w:rPr>
          <w:rFonts w:cs="Times New Roman"/>
          <w:color w:val="0D0D0D" w:themeColor="text1" w:themeTint="F2"/>
          <w:szCs w:val="20"/>
        </w:rPr>
        <w:t>data-based</w:t>
      </w:r>
      <w:proofErr w:type="gramEnd"/>
      <w:r w:rsidRPr="001371A1">
        <w:rPr>
          <w:rFonts w:cs="Times New Roman"/>
          <w:color w:val="0D0D0D" w:themeColor="text1" w:themeTint="F2"/>
          <w:szCs w:val="20"/>
        </w:rPr>
        <w:t xml:space="preserve"> results in a readable, usable format with key stakeholders (such as teachers and administrators in and across LEAs) and partners (such as state departments) so they know impact of EIT intervention and can make data-based decisions about intervention scale-up and sustainability.</w:t>
      </w:r>
    </w:p>
    <w:p w:rsidR="00BE0644" w:rsidRPr="003F3872" w:rsidRDefault="000901DE" w:rsidP="003F3872">
      <w:pPr>
        <w:pStyle w:val="ListParagraph"/>
        <w:numPr>
          <w:ilvl w:val="0"/>
          <w:numId w:val="11"/>
        </w:numPr>
        <w:spacing w:after="0" w:line="240" w:lineRule="auto"/>
        <w:rPr>
          <w:rFonts w:cs="Times New Roman"/>
          <w:color w:val="0D0D0D" w:themeColor="text1" w:themeTint="F2"/>
          <w:szCs w:val="20"/>
        </w:rPr>
      </w:pPr>
      <w:r w:rsidRPr="001371A1">
        <w:rPr>
          <w:rFonts w:cs="Times New Roman"/>
          <w:color w:val="0D0D0D" w:themeColor="text1" w:themeTint="F2"/>
          <w:szCs w:val="20"/>
        </w:rPr>
        <w:t xml:space="preserve">Publish and present findings through refereed research journals, practitioner resources, conferences, workshops, webinars, and websites to additionally validate the EIT intervention as an EBP.   </w:t>
      </w:r>
    </w:p>
    <w:p w:rsidR="00BE0644" w:rsidRPr="003F3872" w:rsidRDefault="001371A1" w:rsidP="003F3872">
      <w:pPr>
        <w:pStyle w:val="Footer"/>
        <w:spacing w:before="240" w:after="0"/>
        <w:ind w:right="360"/>
        <w:jc w:val="center"/>
        <w:rPr>
          <w:rFonts w:asciiTheme="minorHAnsi" w:hAnsiTheme="minorHAnsi"/>
          <w:b/>
          <w:noProof/>
          <w:sz w:val="28"/>
        </w:rPr>
      </w:pPr>
      <w:r w:rsidRPr="003F3872">
        <w:rPr>
          <w:rFonts w:asciiTheme="minorHAnsi" w:hAnsiTheme="minorHAnsi"/>
          <w:b/>
          <w:noProof/>
          <w:sz w:val="28"/>
        </w:rPr>
        <w:t>Implementation Stages</w:t>
      </w:r>
      <w:r w:rsidR="003F3872">
        <w:rPr>
          <w:rFonts w:asciiTheme="minorHAnsi" w:hAnsiTheme="minorHAnsi"/>
          <w:b/>
          <w:noProof/>
          <w:sz w:val="28"/>
        </w:rPr>
        <w:t>*</w:t>
      </w:r>
    </w:p>
    <w:p w:rsidR="00BE0644" w:rsidRDefault="003F3872" w:rsidP="00BE0644">
      <w:pPr>
        <w:pStyle w:val="Footer"/>
        <w:spacing w:before="240"/>
        <w:ind w:left="-540" w:right="360"/>
        <w:jc w:val="both"/>
        <w:rPr>
          <w:rFonts w:asciiTheme="minorHAnsi" w:hAnsiTheme="minorHAnsi"/>
          <w:noProof/>
          <w:sz w:val="14"/>
          <w:szCs w:val="16"/>
        </w:rPr>
      </w:pPr>
      <w:r w:rsidRPr="005369F0">
        <w:rPr>
          <w:rFonts w:asciiTheme="minorHAnsi" w:hAnsiTheme="minorHAnsi"/>
          <w:noProof/>
          <w:sz w:val="14"/>
          <w:szCs w:val="16"/>
        </w:rPr>
        <mc:AlternateContent>
          <mc:Choice Requires="wps">
            <w:drawing>
              <wp:anchor distT="0" distB="0" distL="114300" distR="114300" simplePos="0" relativeHeight="251661312" behindDoc="0" locked="0" layoutInCell="1" allowOverlap="1" wp14:anchorId="042DA701" wp14:editId="666C7627">
                <wp:simplePos x="0" y="0"/>
                <wp:positionH relativeFrom="column">
                  <wp:posOffset>2305050</wp:posOffset>
                </wp:positionH>
                <wp:positionV relativeFrom="paragraph">
                  <wp:posOffset>2117725</wp:posOffset>
                </wp:positionV>
                <wp:extent cx="1857375" cy="495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95300"/>
                        </a:xfrm>
                        <a:prstGeom prst="rect">
                          <a:avLst/>
                        </a:prstGeom>
                        <a:noFill/>
                        <a:ln w="9525">
                          <a:noFill/>
                          <a:miter lim="800000"/>
                          <a:headEnd/>
                          <a:tailEnd/>
                        </a:ln>
                      </wps:spPr>
                      <wps:txbx>
                        <w:txbxContent>
                          <w:p w:rsidR="005369F0" w:rsidRPr="005369F0" w:rsidRDefault="005369F0">
                            <w:pPr>
                              <w:rPr>
                                <w:b/>
                                <w:sz w:val="44"/>
                              </w:rPr>
                            </w:pPr>
                            <w:r w:rsidRPr="005369F0">
                              <w:rPr>
                                <w:b/>
                                <w:sz w:val="44"/>
                              </w:rPr>
                              <w:t xml:space="preserve">Sustainability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42DA701" id="_x0000_t202" coordsize="21600,21600" o:spt="202" path="m,l,21600r21600,l21600,xe">
                <v:stroke joinstyle="miter"/>
                <v:path gradientshapeok="t" o:connecttype="rect"/>
              </v:shapetype>
              <v:shape id="Text Box 2" o:spid="_x0000_s1026" type="#_x0000_t202" style="position:absolute;left:0;text-align:left;margin-left:181.5pt;margin-top:166.75pt;width:146.2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" filled="f" stroked="f">
                <v:textbox>
                  <w:txbxContent>
                    <w:p w:rsidR="005369F0" w:rsidRPr="005369F0" w:rsidRDefault="005369F0">
                      <w:pPr>
                        <w:rPr>
                          <w:b/>
                          <w:sz w:val="44"/>
                        </w:rPr>
                      </w:pPr>
                      <w:r w:rsidRPr="005369F0">
                        <w:rPr>
                          <w:b/>
                          <w:sz w:val="44"/>
                        </w:rPr>
                        <w:t xml:space="preserve">Sustainability </w:t>
                      </w:r>
                    </w:p>
                  </w:txbxContent>
                </v:textbox>
              </v:shape>
            </w:pict>
          </mc:Fallback>
        </mc:AlternateContent>
      </w:r>
      <w:r>
        <w:rPr>
          <w:rFonts w:asciiTheme="minorHAnsi" w:hAnsiTheme="minorHAnsi"/>
          <w:i/>
          <w:noProof/>
          <w:sz w:val="16"/>
          <w:szCs w:val="16"/>
        </w:rPr>
        <mc:AlternateContent>
          <mc:Choice Requires="wps">
            <w:drawing>
              <wp:anchor distT="0" distB="0" distL="114300" distR="114300" simplePos="0" relativeHeight="251659264" behindDoc="0" locked="0" layoutInCell="1" allowOverlap="1" wp14:anchorId="69FD971F" wp14:editId="409B821D">
                <wp:simplePos x="0" y="0"/>
                <wp:positionH relativeFrom="column">
                  <wp:posOffset>2038350</wp:posOffset>
                </wp:positionH>
                <wp:positionV relativeFrom="paragraph">
                  <wp:posOffset>1241425</wp:posOffset>
                </wp:positionV>
                <wp:extent cx="2257425" cy="2152650"/>
                <wp:effectExtent l="228600" t="209550" r="238125" b="228600"/>
                <wp:wrapNone/>
                <wp:docPr id="8" name="Quad Arrow Callout 8"/>
                <wp:cNvGraphicFramePr/>
                <a:graphic xmlns:a="http://schemas.openxmlformats.org/drawingml/2006/main">
                  <a:graphicData uri="http://schemas.microsoft.com/office/word/2010/wordprocessingShape">
                    <wps:wsp>
                      <wps:cNvSpPr/>
                      <wps:spPr>
                        <a:xfrm>
                          <a:off x="0" y="0"/>
                          <a:ext cx="2257425" cy="2152650"/>
                        </a:xfrm>
                        <a:prstGeom prst="quadArrowCallou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9050">
                          <a:solidFill>
                            <a:schemeClr val="tx2"/>
                          </a:solidFill>
                        </a:ln>
                        <a:effectLst>
                          <a:glow rad="2286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CDDA135" id="Quad Arrow Callout 8" o:spid="_x0000_s1026" style="position:absolute;margin-left:160.5pt;margin-top:97.75pt;width:177.75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57425,215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" path="m,1076325l398563,677762r,199281l585542,877043r,-318678l929431,558365r,-159802l730149,398563,1128713,r398563,398563l1327994,398563r,159802l1671883,558365r,318678l1858862,877043r,-199281l2257425,1076325r-398563,398563l1858862,1275607r-186979,l1671883,1594285r-343889,l1327994,1754087r199282,l1128713,2152650,730149,1754087r199282,l929431,1594285r-343889,l585542,1275607r-186979,l398563,1474888,,1076325xe" fillcolor="#8aabd3 [2132]" strokecolor="#1f497d [3215]" strokeweight="1.5pt">
                <v:fill color2="#d6e2f0 [756]" colors="0 #9ab5e4;.5 #c2d1ed;1 #e1e8f5" focus="100%" type="gradient">
                  <o:fill v:ext="view" type="gradientUnscaled"/>
                </v:fill>
                <v:path arrowok="t" o:connecttype="custom" o:connectlocs="0,1076325;398563,677762;398563,877043;585542,877043;585542,558365;929431,558365;929431,398563;730149,398563;1128713,0;1527276,398563;1327994,398563;1327994,558365;1671883,558365;1671883,877043;1858862,877043;1858862,677762;2257425,1076325;1858862,1474888;1858862,1275607;1671883,1275607;1671883,1594285;1327994,1594285;1327994,1754087;1527276,1754087;1128713,2152650;730149,1754087;929431,1754087;929431,1594285;585542,1594285;585542,1275607;398563,1275607;398563,1474888;0,1076325" o:connectangles="0,0,0,0,0,0,0,0,0,0,0,0,0,0,0,0,0,0,0,0,0,0,0,0,0,0,0,0,0,0,0,0,0"/>
              </v:shape>
            </w:pict>
          </mc:Fallback>
        </mc:AlternateContent>
      </w:r>
      <w:r w:rsidR="00BE0644" w:rsidRPr="00E460EB">
        <w:rPr>
          <w:rFonts w:asciiTheme="minorHAnsi" w:hAnsiTheme="minorHAnsi"/>
          <w:i/>
          <w:noProof/>
          <w:sz w:val="16"/>
          <w:szCs w:val="16"/>
          <w:shd w:val="clear" w:color="auto" w:fill="DBE5F1" w:themeFill="accent1" w:themeFillTint="33"/>
        </w:rPr>
        <w:drawing>
          <wp:inline distT="0" distB="0" distL="0" distR="0" wp14:anchorId="47B804B0" wp14:editId="7998BB56">
            <wp:extent cx="6953250" cy="4171950"/>
            <wp:effectExtent l="0" t="76200" r="6350" b="1206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BE0644" w:rsidRPr="003F3872" w:rsidRDefault="003F3872" w:rsidP="00D25A17">
      <w:pPr>
        <w:pStyle w:val="Footer"/>
        <w:spacing w:before="240"/>
        <w:ind w:right="360"/>
        <w:jc w:val="both"/>
        <w:rPr>
          <w:rFonts w:asciiTheme="minorHAnsi" w:hAnsiTheme="minorHAnsi"/>
          <w:noProof/>
          <w:sz w:val="22"/>
          <w:szCs w:val="16"/>
        </w:rPr>
      </w:pPr>
      <w:r>
        <w:rPr>
          <w:rFonts w:asciiTheme="minorHAnsi" w:hAnsiTheme="minorHAnsi"/>
          <w:noProof/>
          <w:sz w:val="22"/>
          <w:szCs w:val="16"/>
        </w:rPr>
        <w:lastRenderedPageBreak/>
        <w:t xml:space="preserve">*Note: Figure adapted from the National Implementation Research Network’s Active Implementation Hub, which is mantained by the State Implementation and Scaling-up Evidence-based Practices Center (SISEP). For more information, visit </w:t>
      </w:r>
      <w:hyperlink r:id="rId23" w:history="1">
        <w:r w:rsidRPr="004E6FA4">
          <w:rPr>
            <w:rStyle w:val="Hyperlink"/>
            <w:rFonts w:asciiTheme="minorHAnsi" w:hAnsiTheme="minorHAnsi"/>
            <w:noProof/>
            <w:sz w:val="22"/>
            <w:szCs w:val="16"/>
          </w:rPr>
          <w:t>http://implementation.fpg.unc.edu/module-1/implementation-stages</w:t>
        </w:r>
      </w:hyperlink>
      <w:r>
        <w:rPr>
          <w:rFonts w:asciiTheme="minorHAnsi" w:hAnsiTheme="minorHAnsi"/>
          <w:noProof/>
          <w:sz w:val="22"/>
          <w:szCs w:val="16"/>
        </w:rPr>
        <w:t xml:space="preserve">.  </w:t>
      </w:r>
    </w:p>
    <w:p w:rsidR="00BE0644" w:rsidRPr="001371A1" w:rsidRDefault="001371A1" w:rsidP="001371A1">
      <w:pPr>
        <w:pStyle w:val="Footer"/>
        <w:tabs>
          <w:tab w:val="clear" w:pos="9360"/>
          <w:tab w:val="right" w:pos="9720"/>
        </w:tabs>
        <w:spacing w:before="240"/>
        <w:rPr>
          <w:rFonts w:asciiTheme="minorHAnsi" w:hAnsiTheme="minorHAnsi"/>
          <w:i/>
          <w:sz w:val="16"/>
          <w:szCs w:val="16"/>
        </w:rPr>
      </w:pPr>
      <w:r w:rsidRPr="00227798">
        <w:rPr>
          <w:rFonts w:asciiTheme="minorHAnsi" w:hAnsiTheme="minorHAnsi"/>
          <w:i/>
          <w:sz w:val="16"/>
          <w:szCs w:val="16"/>
        </w:rPr>
        <w:t>EnvisionIT (EIT) is a public domain product originally produced under USDOE OSEP Grant #H327S120022. Views expressed by EIT are not necessarily representative of the funder. For use or adaptation, please review the EIT Copyright/Reference Disclaimer</w:t>
      </w:r>
      <w:r>
        <w:rPr>
          <w:rFonts w:asciiTheme="minorHAnsi" w:hAnsiTheme="minorHAnsi"/>
          <w:i/>
          <w:sz w:val="16"/>
          <w:szCs w:val="16"/>
        </w:rPr>
        <w:t xml:space="preserve"> </w:t>
      </w:r>
      <w:r w:rsidRPr="00227798">
        <w:rPr>
          <w:rFonts w:asciiTheme="minorHAnsi" w:hAnsiTheme="minorHAnsi"/>
          <w:i/>
          <w:sz w:val="16"/>
          <w:szCs w:val="16"/>
        </w:rPr>
        <w:t>(</w:t>
      </w:r>
      <w:hyperlink r:id="rId24" w:history="1">
        <w:r w:rsidR="00BE0644" w:rsidRPr="004E6FA4">
          <w:rPr>
            <w:rStyle w:val="Hyperlink"/>
            <w:rFonts w:asciiTheme="minorHAnsi" w:hAnsiTheme="minorHAnsi"/>
            <w:i/>
            <w:sz w:val="16"/>
            <w:szCs w:val="16"/>
          </w:rPr>
          <w:t>http://go.osu.edu/eitdisclaimer</w:t>
        </w:r>
      </w:hyperlink>
      <w:r w:rsidRPr="00227798">
        <w:rPr>
          <w:rFonts w:asciiTheme="minorHAnsi" w:hAnsiTheme="minorHAnsi"/>
          <w:i/>
          <w:sz w:val="16"/>
          <w:szCs w:val="16"/>
        </w:rPr>
        <w:t>).</w:t>
      </w:r>
    </w:p>
    <w:sectPr w:rsidR="00BE0644" w:rsidRPr="001371A1" w:rsidSect="00860D9B">
      <w:footerReference w:type="default" r:id="rId25"/>
      <w:pgSz w:w="12240" w:h="15840"/>
      <w:pgMar w:top="810" w:right="990" w:bottom="630" w:left="1170" w:header="720" w:footer="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5AA" w:rsidRDefault="003735AA" w:rsidP="000E3762">
      <w:pPr>
        <w:spacing w:after="0" w:line="240" w:lineRule="auto"/>
      </w:pPr>
      <w:r>
        <w:separator/>
      </w:r>
    </w:p>
  </w:endnote>
  <w:endnote w:type="continuationSeparator" w:id="0">
    <w:p w:rsidR="003735AA" w:rsidRDefault="003735AA" w:rsidP="000E3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003" w:usb1="00000000" w:usb2="00000000" w:usb3="00000000" w:csb0="00000001" w:csb1="00000000"/>
  </w:font>
  <w:font w:name="HGｺﾞｼｯｸ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Neue Light">
    <w:altName w:val="Microsoft YaHei"/>
    <w:panose1 w:val="02000403000000020004"/>
    <w:charset w:val="00"/>
    <w:family w:val="auto"/>
    <w:pitch w:val="variable"/>
    <w:sig w:usb0="A00002FF" w:usb1="5000205B" w:usb2="00000002" w:usb3="00000000" w:csb0="00000007" w:csb1="00000000"/>
  </w:font>
  <w:font w:name="Arial">
    <w:panose1 w:val="020B0604020202020204"/>
    <w:charset w:val="00"/>
    <w:family w:val="auto"/>
    <w:pitch w:val="variable"/>
    <w:sig w:usb0="00000003" w:usb1="00000000" w:usb2="00000000" w:usb3="00000000" w:csb0="00000001" w:csb1="00000000"/>
  </w:font>
  <w:font w:name="HG創英ﾌﾟﾚｾﾞﾝｽEB">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141885"/>
      <w:docPartObj>
        <w:docPartGallery w:val="Page Numbers (Bottom of Page)"/>
        <w:docPartUnique/>
      </w:docPartObj>
    </w:sdtPr>
    <w:sdtEndPr>
      <w:rPr>
        <w:noProof/>
      </w:rPr>
    </w:sdtEndPr>
    <w:sdtContent>
      <w:p w:rsidR="00AF6498" w:rsidRDefault="00AF6498">
        <w:pPr>
          <w:pStyle w:val="Footer"/>
          <w:jc w:val="right"/>
        </w:pPr>
        <w:r>
          <w:fldChar w:fldCharType="begin"/>
        </w:r>
        <w:r>
          <w:instrText xml:space="preserve"> PAGE   \* MERGEFORMAT </w:instrText>
        </w:r>
        <w:r>
          <w:fldChar w:fldCharType="separate"/>
        </w:r>
        <w:r w:rsidR="00E2574A">
          <w:rPr>
            <w:noProof/>
          </w:rPr>
          <w:t>5</w:t>
        </w:r>
        <w:r>
          <w:rPr>
            <w:noProof/>
          </w:rPr>
          <w:fldChar w:fldCharType="end"/>
        </w:r>
      </w:p>
    </w:sdtContent>
  </w:sdt>
  <w:p w:rsidR="00AF6498" w:rsidRDefault="00AF64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5AA" w:rsidRDefault="003735AA" w:rsidP="000E3762">
      <w:pPr>
        <w:spacing w:after="0" w:line="240" w:lineRule="auto"/>
      </w:pPr>
      <w:r>
        <w:separator/>
      </w:r>
    </w:p>
  </w:footnote>
  <w:footnote w:type="continuationSeparator" w:id="0">
    <w:p w:rsidR="003735AA" w:rsidRDefault="003735AA" w:rsidP="000E3762">
      <w:pPr>
        <w:spacing w:after="0" w:line="240" w:lineRule="auto"/>
      </w:pPr>
      <w:r>
        <w:continuationSeparator/>
      </w:r>
    </w:p>
  </w:footnote>
  <w:footnote w:id="1">
    <w:p w:rsidR="00E57111" w:rsidRPr="00BA5895" w:rsidRDefault="00E57111" w:rsidP="00E57111">
      <w:pPr>
        <w:spacing w:after="0" w:line="240" w:lineRule="auto"/>
        <w:jc w:val="both"/>
        <w:rPr>
          <w:sz w:val="14"/>
          <w:szCs w:val="16"/>
        </w:rPr>
      </w:pPr>
      <w:r w:rsidRPr="005A3F72">
        <w:rPr>
          <w:rStyle w:val="FootnoteReference"/>
          <w:sz w:val="14"/>
          <w:szCs w:val="14"/>
        </w:rPr>
        <w:footnoteRef/>
      </w:r>
      <w:r w:rsidRPr="005A3F72">
        <w:t xml:space="preserve"> </w:t>
      </w:r>
      <w:r w:rsidRPr="00BA5895">
        <w:rPr>
          <w:sz w:val="14"/>
          <w:szCs w:val="16"/>
        </w:rPr>
        <w:t xml:space="preserve">Lombardi, A. R., Izzo, M. V., Gelbar, N., Murray, A., Buck, A., Johnson, V., Hsiao, J., Wei, Y., &amp; Kowitt, J. (in press). Leveraging information technology literacy to enhance college and career readiness for secondary students with disabilities. </w:t>
      </w:r>
      <w:proofErr w:type="gramStart"/>
      <w:r w:rsidRPr="00BA5895">
        <w:rPr>
          <w:i/>
          <w:sz w:val="14"/>
          <w:szCs w:val="16"/>
        </w:rPr>
        <w:t>Journal of Vocational Rehabilitation.</w:t>
      </w:r>
      <w:proofErr w:type="gramEnd"/>
    </w:p>
  </w:footnote>
  <w:footnote w:id="2">
    <w:p w:rsidR="00E57111" w:rsidRPr="00BA5895" w:rsidRDefault="00E57111" w:rsidP="00E57111">
      <w:pPr>
        <w:spacing w:after="0" w:line="240" w:lineRule="auto"/>
        <w:jc w:val="both"/>
        <w:rPr>
          <w:i/>
          <w:iCs/>
          <w:sz w:val="14"/>
          <w:szCs w:val="16"/>
        </w:rPr>
      </w:pPr>
      <w:r w:rsidRPr="00BA5895">
        <w:rPr>
          <w:rStyle w:val="FootnoteReference"/>
          <w:sz w:val="14"/>
          <w:szCs w:val="16"/>
        </w:rPr>
        <w:footnoteRef/>
      </w:r>
      <w:r w:rsidRPr="00BA5895">
        <w:rPr>
          <w:sz w:val="14"/>
          <w:szCs w:val="16"/>
        </w:rPr>
        <w:t xml:space="preserve"> </w:t>
      </w:r>
      <w:proofErr w:type="gramStart"/>
      <w:r w:rsidRPr="00BA5895">
        <w:rPr>
          <w:sz w:val="14"/>
          <w:szCs w:val="16"/>
        </w:rPr>
        <w:t>Izzo, Yurick, Nagaraja, &amp; Novak.</w:t>
      </w:r>
      <w:proofErr w:type="gramEnd"/>
      <w:r w:rsidRPr="00BA5895">
        <w:rPr>
          <w:sz w:val="14"/>
          <w:szCs w:val="16"/>
        </w:rPr>
        <w:t xml:space="preserve"> </w:t>
      </w:r>
      <w:proofErr w:type="gramStart"/>
      <w:r w:rsidRPr="00BA5895">
        <w:rPr>
          <w:sz w:val="14"/>
          <w:szCs w:val="16"/>
        </w:rPr>
        <w:t xml:space="preserve">(2010). </w:t>
      </w:r>
      <w:r w:rsidRPr="00BA5895">
        <w:rPr>
          <w:i/>
          <w:iCs/>
          <w:sz w:val="14"/>
          <w:szCs w:val="16"/>
        </w:rPr>
        <w:t xml:space="preserve">Effects of a 21st-Century Curriculum on Students' Information Technology and Transition Skills, </w:t>
      </w:r>
      <w:r w:rsidRPr="00BA5895">
        <w:rPr>
          <w:sz w:val="14"/>
          <w:szCs w:val="16"/>
        </w:rPr>
        <w:t>CDEI, 33(2), 95-105.</w:t>
      </w:r>
      <w:proofErr w:type="gramEnd"/>
    </w:p>
  </w:footnote>
  <w:footnote w:id="3">
    <w:p w:rsidR="00E57111" w:rsidRPr="00BA5895" w:rsidRDefault="00E57111" w:rsidP="00E57111">
      <w:pPr>
        <w:spacing w:after="0" w:line="240" w:lineRule="auto"/>
        <w:jc w:val="both"/>
        <w:rPr>
          <w:sz w:val="14"/>
          <w:szCs w:val="16"/>
        </w:rPr>
      </w:pPr>
      <w:r w:rsidRPr="00BA5895">
        <w:rPr>
          <w:rStyle w:val="FootnoteReference"/>
          <w:sz w:val="14"/>
          <w:szCs w:val="16"/>
        </w:rPr>
        <w:footnoteRef/>
      </w:r>
      <w:r w:rsidRPr="00BA5895">
        <w:rPr>
          <w:sz w:val="14"/>
          <w:szCs w:val="16"/>
        </w:rPr>
        <w:t xml:space="preserve"> Lombardi, A</w:t>
      </w:r>
      <w:proofErr w:type="gramStart"/>
      <w:r w:rsidRPr="00BA5895">
        <w:rPr>
          <w:sz w:val="14"/>
          <w:szCs w:val="16"/>
        </w:rPr>
        <w:t>. ,</w:t>
      </w:r>
      <w:proofErr w:type="gramEnd"/>
      <w:r w:rsidRPr="00BA5895">
        <w:rPr>
          <w:sz w:val="14"/>
          <w:szCs w:val="16"/>
        </w:rPr>
        <w:t xml:space="preserve"> Izzo, M.V., Buck, A. (2016, August). </w:t>
      </w:r>
      <w:proofErr w:type="gramStart"/>
      <w:r w:rsidRPr="00BA5895">
        <w:rPr>
          <w:sz w:val="14"/>
          <w:szCs w:val="16"/>
        </w:rPr>
        <w:t>Scaling-Up College and Career Readiness Interventions with Technology.</w:t>
      </w:r>
      <w:proofErr w:type="gramEnd"/>
      <w:r w:rsidRPr="00BA5895">
        <w:rPr>
          <w:sz w:val="14"/>
          <w:szCs w:val="16"/>
        </w:rPr>
        <w:t xml:space="preserve"> Paper presented at the Office of Special Education’s Project Directors’ Conference, Washington, DC.</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60B3"/>
    <w:multiLevelType w:val="hybridMultilevel"/>
    <w:tmpl w:val="03B0AF0E"/>
    <w:lvl w:ilvl="0" w:tplc="453EE924">
      <w:start w:val="1"/>
      <w:numFmt w:val="bullet"/>
      <w:lvlText w:val=""/>
      <w:lvlJc w:val="left"/>
      <w:pPr>
        <w:ind w:left="54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9D5C7C"/>
    <w:multiLevelType w:val="hybridMultilevel"/>
    <w:tmpl w:val="7932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83973"/>
    <w:multiLevelType w:val="hybridMultilevel"/>
    <w:tmpl w:val="51743F56"/>
    <w:lvl w:ilvl="0" w:tplc="453EE9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3752C"/>
    <w:multiLevelType w:val="hybridMultilevel"/>
    <w:tmpl w:val="839C734A"/>
    <w:lvl w:ilvl="0" w:tplc="4920E77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416CD"/>
    <w:multiLevelType w:val="hybridMultilevel"/>
    <w:tmpl w:val="544C399A"/>
    <w:lvl w:ilvl="0" w:tplc="453EE9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AA6419"/>
    <w:multiLevelType w:val="hybridMultilevel"/>
    <w:tmpl w:val="000ACEE0"/>
    <w:lvl w:ilvl="0" w:tplc="453EE9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0277ED"/>
    <w:multiLevelType w:val="hybridMultilevel"/>
    <w:tmpl w:val="364C6408"/>
    <w:lvl w:ilvl="0" w:tplc="453EE924">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63DE7996"/>
    <w:multiLevelType w:val="hybridMultilevel"/>
    <w:tmpl w:val="88AA7CD8"/>
    <w:lvl w:ilvl="0" w:tplc="453EE9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6A2FFB"/>
    <w:multiLevelType w:val="hybridMultilevel"/>
    <w:tmpl w:val="3CB69CEC"/>
    <w:lvl w:ilvl="0" w:tplc="453EE924">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nsid w:val="7277201C"/>
    <w:multiLevelType w:val="hybridMultilevel"/>
    <w:tmpl w:val="6E6EF6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E123F0F"/>
    <w:multiLevelType w:val="hybridMultilevel"/>
    <w:tmpl w:val="9F46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0"/>
  </w:num>
  <w:num w:numId="4">
    <w:abstractNumId w:val="9"/>
  </w:num>
  <w:num w:numId="5">
    <w:abstractNumId w:val="2"/>
  </w:num>
  <w:num w:numId="6">
    <w:abstractNumId w:val="3"/>
  </w:num>
  <w:num w:numId="7">
    <w:abstractNumId w:val="6"/>
  </w:num>
  <w:num w:numId="8">
    <w:abstractNumId w:val="8"/>
  </w:num>
  <w:num w:numId="9">
    <w:abstractNumId w:val="4"/>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918"/>
    <w:rsid w:val="00043DB1"/>
    <w:rsid w:val="000901DE"/>
    <w:rsid w:val="00092BC3"/>
    <w:rsid w:val="000E0464"/>
    <w:rsid w:val="000E3762"/>
    <w:rsid w:val="001371A1"/>
    <w:rsid w:val="001B78FF"/>
    <w:rsid w:val="001E655D"/>
    <w:rsid w:val="0021664C"/>
    <w:rsid w:val="00227798"/>
    <w:rsid w:val="002B2114"/>
    <w:rsid w:val="002B33AA"/>
    <w:rsid w:val="002B37E0"/>
    <w:rsid w:val="003735AA"/>
    <w:rsid w:val="00381671"/>
    <w:rsid w:val="00384E91"/>
    <w:rsid w:val="003877FD"/>
    <w:rsid w:val="003F3872"/>
    <w:rsid w:val="00450FD4"/>
    <w:rsid w:val="00510A28"/>
    <w:rsid w:val="005351A8"/>
    <w:rsid w:val="005369F0"/>
    <w:rsid w:val="00551668"/>
    <w:rsid w:val="00560942"/>
    <w:rsid w:val="005A3F72"/>
    <w:rsid w:val="00657B1B"/>
    <w:rsid w:val="00662A14"/>
    <w:rsid w:val="00663684"/>
    <w:rsid w:val="006E14F6"/>
    <w:rsid w:val="006E62E7"/>
    <w:rsid w:val="00743602"/>
    <w:rsid w:val="00750382"/>
    <w:rsid w:val="007B56CB"/>
    <w:rsid w:val="00855ED0"/>
    <w:rsid w:val="008566B2"/>
    <w:rsid w:val="00860D9B"/>
    <w:rsid w:val="00885784"/>
    <w:rsid w:val="00891BFD"/>
    <w:rsid w:val="00897CCB"/>
    <w:rsid w:val="00947B08"/>
    <w:rsid w:val="0096490C"/>
    <w:rsid w:val="00A449CE"/>
    <w:rsid w:val="00A86E2B"/>
    <w:rsid w:val="00AE36CC"/>
    <w:rsid w:val="00AF6498"/>
    <w:rsid w:val="00B611B1"/>
    <w:rsid w:val="00B96A67"/>
    <w:rsid w:val="00BA5895"/>
    <w:rsid w:val="00BE0644"/>
    <w:rsid w:val="00C24031"/>
    <w:rsid w:val="00D25A17"/>
    <w:rsid w:val="00D946C6"/>
    <w:rsid w:val="00DB1918"/>
    <w:rsid w:val="00DF7BAB"/>
    <w:rsid w:val="00E2574A"/>
    <w:rsid w:val="00E25D95"/>
    <w:rsid w:val="00E460EB"/>
    <w:rsid w:val="00E57111"/>
    <w:rsid w:val="00E63A87"/>
    <w:rsid w:val="00E761BE"/>
    <w:rsid w:val="00EA78B5"/>
    <w:rsid w:val="00F12169"/>
    <w:rsid w:val="00FA1361"/>
    <w:rsid w:val="00FA22DD"/>
    <w:rsid w:val="00FB73D0"/>
    <w:rsid w:val="00FD7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1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78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3A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19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191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B191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B1918"/>
    <w:pPr>
      <w:ind w:left="720"/>
      <w:contextualSpacing/>
    </w:pPr>
  </w:style>
  <w:style w:type="paragraph" w:styleId="BalloonText">
    <w:name w:val="Balloon Text"/>
    <w:basedOn w:val="Normal"/>
    <w:link w:val="BalloonTextChar"/>
    <w:uiPriority w:val="99"/>
    <w:semiHidden/>
    <w:unhideWhenUsed/>
    <w:rsid w:val="00DB1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918"/>
    <w:rPr>
      <w:rFonts w:ascii="Tahoma" w:hAnsi="Tahoma" w:cs="Tahoma"/>
      <w:sz w:val="16"/>
      <w:szCs w:val="16"/>
    </w:rPr>
  </w:style>
  <w:style w:type="character" w:customStyle="1" w:styleId="Heading2Char">
    <w:name w:val="Heading 2 Char"/>
    <w:basedOn w:val="DefaultParagraphFont"/>
    <w:link w:val="Heading2"/>
    <w:uiPriority w:val="9"/>
    <w:rsid w:val="001B78F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55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63A87"/>
    <w:rPr>
      <w:rFonts w:asciiTheme="majorHAnsi" w:eastAsiaTheme="majorEastAsia" w:hAnsiTheme="majorHAnsi" w:cstheme="majorBidi"/>
      <w:b/>
      <w:bCs/>
      <w:color w:val="4F81BD" w:themeColor="accent1"/>
    </w:rPr>
  </w:style>
  <w:style w:type="table" w:styleId="MediumShading1-Accent1">
    <w:name w:val="Medium Shading 1 Accent 1"/>
    <w:basedOn w:val="TableNormal"/>
    <w:uiPriority w:val="63"/>
    <w:rsid w:val="00E63A8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E63A8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450FD4"/>
    <w:pPr>
      <w:spacing w:after="0" w:line="240" w:lineRule="auto"/>
    </w:pPr>
  </w:style>
  <w:style w:type="character" w:customStyle="1" w:styleId="NoSpacingChar">
    <w:name w:val="No Spacing Char"/>
    <w:basedOn w:val="DefaultParagraphFont"/>
    <w:link w:val="NoSpacing"/>
    <w:uiPriority w:val="1"/>
    <w:rsid w:val="00450FD4"/>
  </w:style>
  <w:style w:type="paragraph" w:styleId="Footer">
    <w:name w:val="footer"/>
    <w:basedOn w:val="Normal"/>
    <w:link w:val="FooterChar"/>
    <w:uiPriority w:val="99"/>
    <w:unhideWhenUsed/>
    <w:rsid w:val="00450FD4"/>
    <w:pPr>
      <w:tabs>
        <w:tab w:val="center" w:pos="4680"/>
        <w:tab w:val="right" w:pos="9360"/>
      </w:tabs>
      <w:spacing w:after="240" w:line="240" w:lineRule="auto"/>
    </w:pPr>
    <w:rPr>
      <w:rFonts w:ascii="Helvetica Neue Light" w:hAnsi="Helvetica Neue Light"/>
      <w:sz w:val="13"/>
      <w:szCs w:val="24"/>
    </w:rPr>
  </w:style>
  <w:style w:type="character" w:customStyle="1" w:styleId="FooterChar">
    <w:name w:val="Footer Char"/>
    <w:basedOn w:val="DefaultParagraphFont"/>
    <w:link w:val="Footer"/>
    <w:uiPriority w:val="99"/>
    <w:rsid w:val="00450FD4"/>
    <w:rPr>
      <w:rFonts w:ascii="Helvetica Neue Light" w:hAnsi="Helvetica Neue Light"/>
      <w:sz w:val="13"/>
      <w:szCs w:val="24"/>
    </w:rPr>
  </w:style>
  <w:style w:type="character" w:styleId="Hyperlink">
    <w:name w:val="Hyperlink"/>
    <w:basedOn w:val="DefaultParagraphFont"/>
    <w:uiPriority w:val="99"/>
    <w:unhideWhenUsed/>
    <w:rsid w:val="00450FD4"/>
    <w:rPr>
      <w:color w:val="0000FF" w:themeColor="hyperlink"/>
      <w:u w:val="single"/>
    </w:rPr>
  </w:style>
  <w:style w:type="paragraph" w:styleId="FootnoteText">
    <w:name w:val="footnote text"/>
    <w:basedOn w:val="Normal"/>
    <w:link w:val="FootnoteTextChar"/>
    <w:uiPriority w:val="99"/>
    <w:semiHidden/>
    <w:unhideWhenUsed/>
    <w:rsid w:val="000E37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3762"/>
    <w:rPr>
      <w:sz w:val="20"/>
      <w:szCs w:val="20"/>
    </w:rPr>
  </w:style>
  <w:style w:type="character" w:styleId="FootnoteReference">
    <w:name w:val="footnote reference"/>
    <w:basedOn w:val="DefaultParagraphFont"/>
    <w:uiPriority w:val="99"/>
    <w:semiHidden/>
    <w:unhideWhenUsed/>
    <w:rsid w:val="000E3762"/>
    <w:rPr>
      <w:vertAlign w:val="superscript"/>
    </w:rPr>
  </w:style>
  <w:style w:type="paragraph" w:styleId="NormalWeb">
    <w:name w:val="Normal (Web)"/>
    <w:basedOn w:val="Normal"/>
    <w:uiPriority w:val="99"/>
    <w:semiHidden/>
    <w:unhideWhenUsed/>
    <w:rsid w:val="000E3762"/>
    <w:rPr>
      <w:rFonts w:ascii="Times New Roman" w:hAnsi="Times New Roman" w:cs="Times New Roman"/>
      <w:sz w:val="24"/>
      <w:szCs w:val="24"/>
    </w:rPr>
  </w:style>
  <w:style w:type="paragraph" w:styleId="Header">
    <w:name w:val="header"/>
    <w:basedOn w:val="Normal"/>
    <w:link w:val="HeaderChar"/>
    <w:uiPriority w:val="99"/>
    <w:unhideWhenUsed/>
    <w:rsid w:val="00092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BC3"/>
  </w:style>
  <w:style w:type="character" w:styleId="SubtleEmphasis">
    <w:name w:val="Subtle Emphasis"/>
    <w:basedOn w:val="DefaultParagraphFont"/>
    <w:uiPriority w:val="19"/>
    <w:qFormat/>
    <w:rsid w:val="00657B1B"/>
    <w:rPr>
      <w:i/>
      <w:iCs/>
      <w:color w:val="808080" w:themeColor="text1" w:themeTint="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1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78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3A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19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191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B191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B1918"/>
    <w:pPr>
      <w:ind w:left="720"/>
      <w:contextualSpacing/>
    </w:pPr>
  </w:style>
  <w:style w:type="paragraph" w:styleId="BalloonText">
    <w:name w:val="Balloon Text"/>
    <w:basedOn w:val="Normal"/>
    <w:link w:val="BalloonTextChar"/>
    <w:uiPriority w:val="99"/>
    <w:semiHidden/>
    <w:unhideWhenUsed/>
    <w:rsid w:val="00DB1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918"/>
    <w:rPr>
      <w:rFonts w:ascii="Tahoma" w:hAnsi="Tahoma" w:cs="Tahoma"/>
      <w:sz w:val="16"/>
      <w:szCs w:val="16"/>
    </w:rPr>
  </w:style>
  <w:style w:type="character" w:customStyle="1" w:styleId="Heading2Char">
    <w:name w:val="Heading 2 Char"/>
    <w:basedOn w:val="DefaultParagraphFont"/>
    <w:link w:val="Heading2"/>
    <w:uiPriority w:val="9"/>
    <w:rsid w:val="001B78F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55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63A87"/>
    <w:rPr>
      <w:rFonts w:asciiTheme="majorHAnsi" w:eastAsiaTheme="majorEastAsia" w:hAnsiTheme="majorHAnsi" w:cstheme="majorBidi"/>
      <w:b/>
      <w:bCs/>
      <w:color w:val="4F81BD" w:themeColor="accent1"/>
    </w:rPr>
  </w:style>
  <w:style w:type="table" w:styleId="MediumShading1-Accent1">
    <w:name w:val="Medium Shading 1 Accent 1"/>
    <w:basedOn w:val="TableNormal"/>
    <w:uiPriority w:val="63"/>
    <w:rsid w:val="00E63A8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E63A8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450FD4"/>
    <w:pPr>
      <w:spacing w:after="0" w:line="240" w:lineRule="auto"/>
    </w:pPr>
  </w:style>
  <w:style w:type="character" w:customStyle="1" w:styleId="NoSpacingChar">
    <w:name w:val="No Spacing Char"/>
    <w:basedOn w:val="DefaultParagraphFont"/>
    <w:link w:val="NoSpacing"/>
    <w:uiPriority w:val="1"/>
    <w:rsid w:val="00450FD4"/>
  </w:style>
  <w:style w:type="paragraph" w:styleId="Footer">
    <w:name w:val="footer"/>
    <w:basedOn w:val="Normal"/>
    <w:link w:val="FooterChar"/>
    <w:uiPriority w:val="99"/>
    <w:unhideWhenUsed/>
    <w:rsid w:val="00450FD4"/>
    <w:pPr>
      <w:tabs>
        <w:tab w:val="center" w:pos="4680"/>
        <w:tab w:val="right" w:pos="9360"/>
      </w:tabs>
      <w:spacing w:after="240" w:line="240" w:lineRule="auto"/>
    </w:pPr>
    <w:rPr>
      <w:rFonts w:ascii="Helvetica Neue Light" w:hAnsi="Helvetica Neue Light"/>
      <w:sz w:val="13"/>
      <w:szCs w:val="24"/>
    </w:rPr>
  </w:style>
  <w:style w:type="character" w:customStyle="1" w:styleId="FooterChar">
    <w:name w:val="Footer Char"/>
    <w:basedOn w:val="DefaultParagraphFont"/>
    <w:link w:val="Footer"/>
    <w:uiPriority w:val="99"/>
    <w:rsid w:val="00450FD4"/>
    <w:rPr>
      <w:rFonts w:ascii="Helvetica Neue Light" w:hAnsi="Helvetica Neue Light"/>
      <w:sz w:val="13"/>
      <w:szCs w:val="24"/>
    </w:rPr>
  </w:style>
  <w:style w:type="character" w:styleId="Hyperlink">
    <w:name w:val="Hyperlink"/>
    <w:basedOn w:val="DefaultParagraphFont"/>
    <w:uiPriority w:val="99"/>
    <w:unhideWhenUsed/>
    <w:rsid w:val="00450FD4"/>
    <w:rPr>
      <w:color w:val="0000FF" w:themeColor="hyperlink"/>
      <w:u w:val="single"/>
    </w:rPr>
  </w:style>
  <w:style w:type="paragraph" w:styleId="FootnoteText">
    <w:name w:val="footnote text"/>
    <w:basedOn w:val="Normal"/>
    <w:link w:val="FootnoteTextChar"/>
    <w:uiPriority w:val="99"/>
    <w:semiHidden/>
    <w:unhideWhenUsed/>
    <w:rsid w:val="000E37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3762"/>
    <w:rPr>
      <w:sz w:val="20"/>
      <w:szCs w:val="20"/>
    </w:rPr>
  </w:style>
  <w:style w:type="character" w:styleId="FootnoteReference">
    <w:name w:val="footnote reference"/>
    <w:basedOn w:val="DefaultParagraphFont"/>
    <w:uiPriority w:val="99"/>
    <w:semiHidden/>
    <w:unhideWhenUsed/>
    <w:rsid w:val="000E3762"/>
    <w:rPr>
      <w:vertAlign w:val="superscript"/>
    </w:rPr>
  </w:style>
  <w:style w:type="paragraph" w:styleId="NormalWeb">
    <w:name w:val="Normal (Web)"/>
    <w:basedOn w:val="Normal"/>
    <w:uiPriority w:val="99"/>
    <w:semiHidden/>
    <w:unhideWhenUsed/>
    <w:rsid w:val="000E3762"/>
    <w:rPr>
      <w:rFonts w:ascii="Times New Roman" w:hAnsi="Times New Roman" w:cs="Times New Roman"/>
      <w:sz w:val="24"/>
      <w:szCs w:val="24"/>
    </w:rPr>
  </w:style>
  <w:style w:type="paragraph" w:styleId="Header">
    <w:name w:val="header"/>
    <w:basedOn w:val="Normal"/>
    <w:link w:val="HeaderChar"/>
    <w:uiPriority w:val="99"/>
    <w:unhideWhenUsed/>
    <w:rsid w:val="00092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BC3"/>
  </w:style>
  <w:style w:type="character" w:styleId="SubtleEmphasis">
    <w:name w:val="Subtle Emphasis"/>
    <w:basedOn w:val="DefaultParagraphFont"/>
    <w:uiPriority w:val="19"/>
    <w:qFormat/>
    <w:rsid w:val="00657B1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allison.lombardi@uconn.edu" TargetMode="External"/><Relationship Id="rId20" Type="http://schemas.openxmlformats.org/officeDocument/2006/relationships/diagramQuickStyle" Target="diagrams/quickStyle2.xml"/><Relationship Id="rId21" Type="http://schemas.openxmlformats.org/officeDocument/2006/relationships/diagramColors" Target="diagrams/colors2.xml"/><Relationship Id="rId22" Type="http://schemas.microsoft.com/office/2007/relationships/diagramDrawing" Target="diagrams/drawing2.xml"/><Relationship Id="rId23" Type="http://schemas.openxmlformats.org/officeDocument/2006/relationships/hyperlink" Target="http://implementation.fpg.unc.edu/module-1/implementation-stages" TargetMode="External"/><Relationship Id="rId24" Type="http://schemas.openxmlformats.org/officeDocument/2006/relationships/hyperlink" Target="http://go.osu.edu/eitdisclaimer" TargetMode="Externa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mailto:margo.izzo@osumc.edu" TargetMode="External"/><Relationship Id="rId11" Type="http://schemas.openxmlformats.org/officeDocument/2006/relationships/hyperlink" Target="mailto:andrew.buck@osumc.edu" TargetMode="External"/><Relationship Id="rId12" Type="http://schemas.openxmlformats.org/officeDocument/2006/relationships/diagramData" Target="diagrams/data1.xml"/><Relationship Id="rId13" Type="http://schemas.openxmlformats.org/officeDocument/2006/relationships/diagramLayout" Target="diagrams/layout1.xml"/><Relationship Id="rId14" Type="http://schemas.openxmlformats.org/officeDocument/2006/relationships/diagramQuickStyle" Target="diagrams/quickStyle1.xml"/><Relationship Id="rId15" Type="http://schemas.openxmlformats.org/officeDocument/2006/relationships/diagramColors" Target="diagrams/colors1.xml"/><Relationship Id="rId16" Type="http://schemas.microsoft.com/office/2007/relationships/diagramDrawing" Target="diagrams/drawing1.xml"/><Relationship Id="rId17" Type="http://schemas.openxmlformats.org/officeDocument/2006/relationships/hyperlink" Target="http://implementation.fpg.unc.edu/" TargetMode="External"/><Relationship Id="rId18" Type="http://schemas.openxmlformats.org/officeDocument/2006/relationships/diagramData" Target="diagrams/data2.xml"/><Relationship Id="rId19" Type="http://schemas.openxmlformats.org/officeDocument/2006/relationships/diagramLayout" Target="diagrams/layout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FB086D-A27B-471E-91E9-585945DD9F94}"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en-US"/>
        </a:p>
      </dgm:t>
    </dgm:pt>
    <dgm:pt modelId="{9B75438A-5E21-4A48-8E01-C332369C496A}">
      <dgm:prSet phldrT="[Text]" custT="1"/>
      <dgm:spPr>
        <a:solidFill>
          <a:schemeClr val="accent1">
            <a:lumMod val="20000"/>
            <a:lumOff val="80000"/>
          </a:schemeClr>
        </a:solidFill>
        <a:ln>
          <a:solidFill>
            <a:schemeClr val="accent1">
              <a:lumMod val="40000"/>
              <a:lumOff val="60000"/>
            </a:schemeClr>
          </a:solidFill>
        </a:ln>
        <a:effectLst>
          <a:glow rad="228600">
            <a:schemeClr val="accent1">
              <a:satMod val="175000"/>
              <a:alpha val="40000"/>
            </a:schemeClr>
          </a:glow>
        </a:effectLst>
      </dgm:spPr>
      <dgm:t>
        <a:bodyPr/>
        <a:lstStyle/>
        <a:p>
          <a:r>
            <a:rPr lang="en-US" sz="1200" b="1">
              <a:solidFill>
                <a:schemeClr val="tx1"/>
              </a:solidFill>
            </a:rPr>
            <a:t>LEAs</a:t>
          </a:r>
        </a:p>
      </dgm:t>
    </dgm:pt>
    <dgm:pt modelId="{DF0F8689-E63F-4861-B30C-CF2CE661A544}" type="parTrans" cxnId="{E1AF94B0-915A-419C-9E43-343C3D4BCDF3}">
      <dgm:prSet/>
      <dgm:spPr/>
      <dgm:t>
        <a:bodyPr/>
        <a:lstStyle/>
        <a:p>
          <a:endParaRPr lang="en-US"/>
        </a:p>
      </dgm:t>
    </dgm:pt>
    <dgm:pt modelId="{3316F457-6211-495F-8267-D6E939485C23}" type="sibTrans" cxnId="{E1AF94B0-915A-419C-9E43-343C3D4BCDF3}">
      <dgm:prSet/>
      <dgm:spPr/>
      <dgm:t>
        <a:bodyPr/>
        <a:lstStyle/>
        <a:p>
          <a:endParaRPr lang="en-US"/>
        </a:p>
      </dgm:t>
    </dgm:pt>
    <dgm:pt modelId="{CA3B1477-4235-46EA-8B00-D98C5FF3DDD9}">
      <dgm:prSet phldrT="[Text]" custT="1"/>
      <dgm:spPr>
        <a:solidFill>
          <a:schemeClr val="accent6">
            <a:lumMod val="20000"/>
            <a:lumOff val="80000"/>
          </a:schemeClr>
        </a:solidFill>
        <a:ln>
          <a:solidFill>
            <a:schemeClr val="accent6">
              <a:lumMod val="40000"/>
              <a:lumOff val="60000"/>
            </a:schemeClr>
          </a:solidFill>
        </a:ln>
        <a:effectLst>
          <a:glow rad="101600">
            <a:schemeClr val="accent6">
              <a:satMod val="175000"/>
              <a:alpha val="40000"/>
            </a:schemeClr>
          </a:glow>
        </a:effectLst>
      </dgm:spPr>
      <dgm:t>
        <a:bodyPr/>
        <a:lstStyle/>
        <a:p>
          <a:r>
            <a:rPr lang="en-US" sz="1200" b="1">
              <a:solidFill>
                <a:schemeClr val="tx1"/>
              </a:solidFill>
            </a:rPr>
            <a:t>State</a:t>
          </a:r>
        </a:p>
      </dgm:t>
    </dgm:pt>
    <dgm:pt modelId="{3F1A64A5-9282-4622-930F-6F51BF89BF8D}" type="parTrans" cxnId="{01D99FA1-BFA4-4C6A-A5B1-3FA9DC17949D}">
      <dgm:prSet/>
      <dgm:spPr/>
      <dgm:t>
        <a:bodyPr/>
        <a:lstStyle/>
        <a:p>
          <a:endParaRPr lang="en-US"/>
        </a:p>
      </dgm:t>
    </dgm:pt>
    <dgm:pt modelId="{1B5EC546-742D-4E82-AB69-3029C8009B26}" type="sibTrans" cxnId="{01D99FA1-BFA4-4C6A-A5B1-3FA9DC17949D}">
      <dgm:prSet/>
      <dgm:spPr/>
      <dgm:t>
        <a:bodyPr/>
        <a:lstStyle/>
        <a:p>
          <a:endParaRPr lang="en-US"/>
        </a:p>
      </dgm:t>
    </dgm:pt>
    <dgm:pt modelId="{FD78CE13-716F-45C9-AF11-5F6C4C48A752}">
      <dgm:prSet phldrT="[Text]" custT="1"/>
      <dgm:spPr>
        <a:solidFill>
          <a:schemeClr val="accent2">
            <a:lumMod val="20000"/>
            <a:lumOff val="80000"/>
          </a:schemeClr>
        </a:solidFill>
        <a:ln>
          <a:solidFill>
            <a:schemeClr val="accent2">
              <a:lumMod val="40000"/>
              <a:lumOff val="60000"/>
            </a:schemeClr>
          </a:solidFill>
        </a:ln>
        <a:effectLst>
          <a:glow rad="101600">
            <a:schemeClr val="accent2">
              <a:satMod val="175000"/>
              <a:alpha val="40000"/>
            </a:schemeClr>
          </a:glow>
        </a:effectLst>
      </dgm:spPr>
      <dgm:t>
        <a:bodyPr/>
        <a:lstStyle/>
        <a:p>
          <a:r>
            <a:rPr lang="en-US" sz="1200" b="1">
              <a:solidFill>
                <a:schemeClr val="tx1"/>
              </a:solidFill>
            </a:rPr>
            <a:t>Federal</a:t>
          </a:r>
          <a:r>
            <a:rPr lang="en-US" sz="1100"/>
            <a:t> </a:t>
          </a:r>
        </a:p>
      </dgm:t>
    </dgm:pt>
    <dgm:pt modelId="{E6DD185F-C0AE-4DA4-BD96-41445301A597}" type="parTrans" cxnId="{5709B6DC-09B0-4182-B9D9-26C0A17B331F}">
      <dgm:prSet/>
      <dgm:spPr/>
      <dgm:t>
        <a:bodyPr/>
        <a:lstStyle/>
        <a:p>
          <a:endParaRPr lang="en-US"/>
        </a:p>
      </dgm:t>
    </dgm:pt>
    <dgm:pt modelId="{EC9985EA-86FC-4755-BC8C-F59011AE4CEB}" type="sibTrans" cxnId="{5709B6DC-09B0-4182-B9D9-26C0A17B331F}">
      <dgm:prSet/>
      <dgm:spPr/>
      <dgm:t>
        <a:bodyPr/>
        <a:lstStyle/>
        <a:p>
          <a:endParaRPr lang="en-US"/>
        </a:p>
      </dgm:t>
    </dgm:pt>
    <dgm:pt modelId="{9B830892-DC6E-4883-8C3C-9C66F2966302}">
      <dgm:prSet custT="1"/>
      <dgm:spPr>
        <a:solidFill>
          <a:schemeClr val="accent3">
            <a:lumMod val="20000"/>
            <a:lumOff val="80000"/>
          </a:schemeClr>
        </a:solidFill>
        <a:ln>
          <a:solidFill>
            <a:schemeClr val="accent3">
              <a:lumMod val="40000"/>
              <a:lumOff val="60000"/>
            </a:schemeClr>
          </a:solidFill>
        </a:ln>
        <a:effectLst>
          <a:glow rad="139700">
            <a:schemeClr val="accent3">
              <a:satMod val="175000"/>
              <a:alpha val="40000"/>
            </a:schemeClr>
          </a:glow>
        </a:effectLst>
      </dgm:spPr>
      <dgm:t>
        <a:bodyPr/>
        <a:lstStyle/>
        <a:p>
          <a:r>
            <a:rPr lang="en-US" sz="1050" b="1">
              <a:solidFill>
                <a:schemeClr val="tx1"/>
              </a:solidFill>
            </a:rPr>
            <a:t>University</a:t>
          </a:r>
        </a:p>
      </dgm:t>
    </dgm:pt>
    <dgm:pt modelId="{52E27E08-571E-4572-B566-56E652232279}" type="parTrans" cxnId="{44D19252-91D8-4D64-9770-DF78CB8E8970}">
      <dgm:prSet/>
      <dgm:spPr/>
      <dgm:t>
        <a:bodyPr/>
        <a:lstStyle/>
        <a:p>
          <a:endParaRPr lang="en-US"/>
        </a:p>
      </dgm:t>
    </dgm:pt>
    <dgm:pt modelId="{A4FD92F2-8F9D-4698-97DC-A3B930D27BA4}" type="sibTrans" cxnId="{44D19252-91D8-4D64-9770-DF78CB8E8970}">
      <dgm:prSet/>
      <dgm:spPr/>
      <dgm:t>
        <a:bodyPr/>
        <a:lstStyle/>
        <a:p>
          <a:endParaRPr lang="en-US"/>
        </a:p>
      </dgm:t>
    </dgm:pt>
    <dgm:pt modelId="{ED3A4255-FEC9-4056-8E63-18F682BE5555}" type="pres">
      <dgm:prSet presAssocID="{F1FB086D-A27B-471E-91E9-585945DD9F94}" presName="Name0" presStyleCnt="0">
        <dgm:presLayoutVars>
          <dgm:chMax val="7"/>
          <dgm:resizeHandles val="exact"/>
        </dgm:presLayoutVars>
      </dgm:prSet>
      <dgm:spPr/>
      <dgm:t>
        <a:bodyPr/>
        <a:lstStyle/>
        <a:p>
          <a:endParaRPr lang="en-US"/>
        </a:p>
      </dgm:t>
    </dgm:pt>
    <dgm:pt modelId="{1671AEE4-E48E-43B3-A7EA-E34FE03408E5}" type="pres">
      <dgm:prSet presAssocID="{F1FB086D-A27B-471E-91E9-585945DD9F94}" presName="comp1" presStyleCnt="0"/>
      <dgm:spPr/>
    </dgm:pt>
    <dgm:pt modelId="{EA62E24E-6EFA-4EF9-8692-BAA911929882}" type="pres">
      <dgm:prSet presAssocID="{F1FB086D-A27B-471E-91E9-585945DD9F94}" presName="circle1" presStyleLbl="node1" presStyleIdx="0" presStyleCnt="4" custScaleX="103125" custScaleY="90210"/>
      <dgm:spPr/>
      <dgm:t>
        <a:bodyPr/>
        <a:lstStyle/>
        <a:p>
          <a:endParaRPr lang="en-US"/>
        </a:p>
      </dgm:t>
    </dgm:pt>
    <dgm:pt modelId="{78178DBF-B2B3-4F6C-BF71-2E2A95C3A077}" type="pres">
      <dgm:prSet presAssocID="{F1FB086D-A27B-471E-91E9-585945DD9F94}" presName="c1text" presStyleLbl="node1" presStyleIdx="0" presStyleCnt="4">
        <dgm:presLayoutVars>
          <dgm:bulletEnabled val="1"/>
        </dgm:presLayoutVars>
      </dgm:prSet>
      <dgm:spPr/>
      <dgm:t>
        <a:bodyPr/>
        <a:lstStyle/>
        <a:p>
          <a:endParaRPr lang="en-US"/>
        </a:p>
      </dgm:t>
    </dgm:pt>
    <dgm:pt modelId="{20584BBC-BD87-4B14-99BE-B4AF82A923DF}" type="pres">
      <dgm:prSet presAssocID="{F1FB086D-A27B-471E-91E9-585945DD9F94}" presName="comp2" presStyleCnt="0"/>
      <dgm:spPr/>
    </dgm:pt>
    <dgm:pt modelId="{9FFC1120-C2C2-4948-A168-7C9AC38D90F4}" type="pres">
      <dgm:prSet presAssocID="{F1FB086D-A27B-471E-91E9-585945DD9F94}" presName="circle2" presStyleLbl="node1" presStyleIdx="1" presStyleCnt="4" custScaleX="107813" custScaleY="90403" custLinFactNeighborY="2387"/>
      <dgm:spPr/>
      <dgm:t>
        <a:bodyPr/>
        <a:lstStyle/>
        <a:p>
          <a:endParaRPr lang="en-US"/>
        </a:p>
      </dgm:t>
    </dgm:pt>
    <dgm:pt modelId="{3548CED3-AF1C-4DF9-87F5-3C5F67C88FED}" type="pres">
      <dgm:prSet presAssocID="{F1FB086D-A27B-471E-91E9-585945DD9F94}" presName="c2text" presStyleLbl="node1" presStyleIdx="1" presStyleCnt="4">
        <dgm:presLayoutVars>
          <dgm:bulletEnabled val="1"/>
        </dgm:presLayoutVars>
      </dgm:prSet>
      <dgm:spPr/>
      <dgm:t>
        <a:bodyPr/>
        <a:lstStyle/>
        <a:p>
          <a:endParaRPr lang="en-US"/>
        </a:p>
      </dgm:t>
    </dgm:pt>
    <dgm:pt modelId="{4A62654A-CBE0-49DC-A593-0F78A5D87D23}" type="pres">
      <dgm:prSet presAssocID="{F1FB086D-A27B-471E-91E9-585945DD9F94}" presName="comp3" presStyleCnt="0"/>
      <dgm:spPr/>
    </dgm:pt>
    <dgm:pt modelId="{F75B0467-715B-475B-9612-A528CD78E752}" type="pres">
      <dgm:prSet presAssocID="{F1FB086D-A27B-471E-91E9-585945DD9F94}" presName="circle3" presStyleLbl="node1" presStyleIdx="2" presStyleCnt="4" custScaleX="97917" custScaleY="86135"/>
      <dgm:spPr/>
      <dgm:t>
        <a:bodyPr/>
        <a:lstStyle/>
        <a:p>
          <a:endParaRPr lang="en-US"/>
        </a:p>
      </dgm:t>
    </dgm:pt>
    <dgm:pt modelId="{46379287-360C-4B75-BFDA-539EC9B8A2BB}" type="pres">
      <dgm:prSet presAssocID="{F1FB086D-A27B-471E-91E9-585945DD9F94}" presName="c3text" presStyleLbl="node1" presStyleIdx="2" presStyleCnt="4">
        <dgm:presLayoutVars>
          <dgm:bulletEnabled val="1"/>
        </dgm:presLayoutVars>
      </dgm:prSet>
      <dgm:spPr/>
      <dgm:t>
        <a:bodyPr/>
        <a:lstStyle/>
        <a:p>
          <a:endParaRPr lang="en-US"/>
        </a:p>
      </dgm:t>
    </dgm:pt>
    <dgm:pt modelId="{0F5CAA43-ACEE-4C90-ABBB-D5C42E4A3F6B}" type="pres">
      <dgm:prSet presAssocID="{F1FB086D-A27B-471E-91E9-585945DD9F94}" presName="comp4" presStyleCnt="0"/>
      <dgm:spPr/>
    </dgm:pt>
    <dgm:pt modelId="{A4742EFC-AA76-49E4-B096-DB76ABFCAB54}" type="pres">
      <dgm:prSet presAssocID="{F1FB086D-A27B-471E-91E9-585945DD9F94}" presName="circle4" presStyleLbl="node1" presStyleIdx="3" presStyleCnt="4" custScaleX="93750" custScaleY="79965"/>
      <dgm:spPr/>
      <dgm:t>
        <a:bodyPr/>
        <a:lstStyle/>
        <a:p>
          <a:endParaRPr lang="en-US"/>
        </a:p>
      </dgm:t>
    </dgm:pt>
    <dgm:pt modelId="{C45F7D1B-405D-47EC-8AA5-D69D015FEFD8}" type="pres">
      <dgm:prSet presAssocID="{F1FB086D-A27B-471E-91E9-585945DD9F94}" presName="c4text" presStyleLbl="node1" presStyleIdx="3" presStyleCnt="4">
        <dgm:presLayoutVars>
          <dgm:bulletEnabled val="1"/>
        </dgm:presLayoutVars>
      </dgm:prSet>
      <dgm:spPr/>
      <dgm:t>
        <a:bodyPr/>
        <a:lstStyle/>
        <a:p>
          <a:endParaRPr lang="en-US"/>
        </a:p>
      </dgm:t>
    </dgm:pt>
  </dgm:ptLst>
  <dgm:cxnLst>
    <dgm:cxn modelId="{69B3EBF3-5385-45E5-9323-2FC2261B6FC7}" type="presOf" srcId="{9B75438A-5E21-4A48-8E01-C332369C496A}" destId="{EA62E24E-6EFA-4EF9-8692-BAA911929882}" srcOrd="0" destOrd="0" presId="urn:microsoft.com/office/officeart/2005/8/layout/venn2"/>
    <dgm:cxn modelId="{4F4C341A-FBD3-41F1-9AD5-F9E8F96A7E24}" type="presOf" srcId="{F1FB086D-A27B-471E-91E9-585945DD9F94}" destId="{ED3A4255-FEC9-4056-8E63-18F682BE5555}" srcOrd="0" destOrd="0" presId="urn:microsoft.com/office/officeart/2005/8/layout/venn2"/>
    <dgm:cxn modelId="{5D7278BD-09B3-4903-A735-E700FFD6F942}" type="presOf" srcId="{9B830892-DC6E-4883-8C3C-9C66F2966302}" destId="{9FFC1120-C2C2-4948-A168-7C9AC38D90F4}" srcOrd="0" destOrd="0" presId="urn:microsoft.com/office/officeart/2005/8/layout/venn2"/>
    <dgm:cxn modelId="{99AE115B-4E83-4519-99D8-21B96E6B0B9F}" type="presOf" srcId="{9B75438A-5E21-4A48-8E01-C332369C496A}" destId="{78178DBF-B2B3-4F6C-BF71-2E2A95C3A077}" srcOrd="1" destOrd="0" presId="urn:microsoft.com/office/officeart/2005/8/layout/venn2"/>
    <dgm:cxn modelId="{5709B6DC-09B0-4182-B9D9-26C0A17B331F}" srcId="{F1FB086D-A27B-471E-91E9-585945DD9F94}" destId="{FD78CE13-716F-45C9-AF11-5F6C4C48A752}" srcOrd="3" destOrd="0" parTransId="{E6DD185F-C0AE-4DA4-BD96-41445301A597}" sibTransId="{EC9985EA-86FC-4755-BC8C-F59011AE4CEB}"/>
    <dgm:cxn modelId="{ED015786-9B99-4A03-AA77-D27E92D2E923}" type="presOf" srcId="{FD78CE13-716F-45C9-AF11-5F6C4C48A752}" destId="{C45F7D1B-405D-47EC-8AA5-D69D015FEFD8}" srcOrd="1" destOrd="0" presId="urn:microsoft.com/office/officeart/2005/8/layout/venn2"/>
    <dgm:cxn modelId="{BF2067AB-CFC3-482F-AC2F-6E04FC579129}" type="presOf" srcId="{9B830892-DC6E-4883-8C3C-9C66F2966302}" destId="{3548CED3-AF1C-4DF9-87F5-3C5F67C88FED}" srcOrd="1" destOrd="0" presId="urn:microsoft.com/office/officeart/2005/8/layout/venn2"/>
    <dgm:cxn modelId="{4274FCCB-8AAD-4694-814E-7D04A17B51D4}" type="presOf" srcId="{FD78CE13-716F-45C9-AF11-5F6C4C48A752}" destId="{A4742EFC-AA76-49E4-B096-DB76ABFCAB54}" srcOrd="0" destOrd="0" presId="urn:microsoft.com/office/officeart/2005/8/layout/venn2"/>
    <dgm:cxn modelId="{4042536E-E3D7-498C-9359-6404BD108D4D}" type="presOf" srcId="{CA3B1477-4235-46EA-8B00-D98C5FF3DDD9}" destId="{F75B0467-715B-475B-9612-A528CD78E752}" srcOrd="0" destOrd="0" presId="urn:microsoft.com/office/officeart/2005/8/layout/venn2"/>
    <dgm:cxn modelId="{E778C45F-6BD3-469D-8AA8-F3A55C019C67}" type="presOf" srcId="{CA3B1477-4235-46EA-8B00-D98C5FF3DDD9}" destId="{46379287-360C-4B75-BFDA-539EC9B8A2BB}" srcOrd="1" destOrd="0" presId="urn:microsoft.com/office/officeart/2005/8/layout/venn2"/>
    <dgm:cxn modelId="{E1AF94B0-915A-419C-9E43-343C3D4BCDF3}" srcId="{F1FB086D-A27B-471E-91E9-585945DD9F94}" destId="{9B75438A-5E21-4A48-8E01-C332369C496A}" srcOrd="0" destOrd="0" parTransId="{DF0F8689-E63F-4861-B30C-CF2CE661A544}" sibTransId="{3316F457-6211-495F-8267-D6E939485C23}"/>
    <dgm:cxn modelId="{44D19252-91D8-4D64-9770-DF78CB8E8970}" srcId="{F1FB086D-A27B-471E-91E9-585945DD9F94}" destId="{9B830892-DC6E-4883-8C3C-9C66F2966302}" srcOrd="1" destOrd="0" parTransId="{52E27E08-571E-4572-B566-56E652232279}" sibTransId="{A4FD92F2-8F9D-4698-97DC-A3B930D27BA4}"/>
    <dgm:cxn modelId="{01D99FA1-BFA4-4C6A-A5B1-3FA9DC17949D}" srcId="{F1FB086D-A27B-471E-91E9-585945DD9F94}" destId="{CA3B1477-4235-46EA-8B00-D98C5FF3DDD9}" srcOrd="2" destOrd="0" parTransId="{3F1A64A5-9282-4622-930F-6F51BF89BF8D}" sibTransId="{1B5EC546-742D-4E82-AB69-3029C8009B26}"/>
    <dgm:cxn modelId="{945E5147-FF1A-4D16-8BA9-C56D6AD8A111}" type="presParOf" srcId="{ED3A4255-FEC9-4056-8E63-18F682BE5555}" destId="{1671AEE4-E48E-43B3-A7EA-E34FE03408E5}" srcOrd="0" destOrd="0" presId="urn:microsoft.com/office/officeart/2005/8/layout/venn2"/>
    <dgm:cxn modelId="{B0522A5C-E712-4B96-9FBB-C264A2A95929}" type="presParOf" srcId="{1671AEE4-E48E-43B3-A7EA-E34FE03408E5}" destId="{EA62E24E-6EFA-4EF9-8692-BAA911929882}" srcOrd="0" destOrd="0" presId="urn:microsoft.com/office/officeart/2005/8/layout/venn2"/>
    <dgm:cxn modelId="{719511E4-AD11-4AE4-87EC-FEA500BD3C91}" type="presParOf" srcId="{1671AEE4-E48E-43B3-A7EA-E34FE03408E5}" destId="{78178DBF-B2B3-4F6C-BF71-2E2A95C3A077}" srcOrd="1" destOrd="0" presId="urn:microsoft.com/office/officeart/2005/8/layout/venn2"/>
    <dgm:cxn modelId="{88AB7697-1AA4-47BD-848C-8F77A3A8E7F0}" type="presParOf" srcId="{ED3A4255-FEC9-4056-8E63-18F682BE5555}" destId="{20584BBC-BD87-4B14-99BE-B4AF82A923DF}" srcOrd="1" destOrd="0" presId="urn:microsoft.com/office/officeart/2005/8/layout/venn2"/>
    <dgm:cxn modelId="{21DB05FE-5E25-4E99-A8EB-E8B62B776ACE}" type="presParOf" srcId="{20584BBC-BD87-4B14-99BE-B4AF82A923DF}" destId="{9FFC1120-C2C2-4948-A168-7C9AC38D90F4}" srcOrd="0" destOrd="0" presId="urn:microsoft.com/office/officeart/2005/8/layout/venn2"/>
    <dgm:cxn modelId="{C7A4C2B2-D879-4C25-BC4B-3ACF0FD7BB44}" type="presParOf" srcId="{20584BBC-BD87-4B14-99BE-B4AF82A923DF}" destId="{3548CED3-AF1C-4DF9-87F5-3C5F67C88FED}" srcOrd="1" destOrd="0" presId="urn:microsoft.com/office/officeart/2005/8/layout/venn2"/>
    <dgm:cxn modelId="{E22571CB-CD6D-4C70-B72E-EEFCD3D77B5B}" type="presParOf" srcId="{ED3A4255-FEC9-4056-8E63-18F682BE5555}" destId="{4A62654A-CBE0-49DC-A593-0F78A5D87D23}" srcOrd="2" destOrd="0" presId="urn:microsoft.com/office/officeart/2005/8/layout/venn2"/>
    <dgm:cxn modelId="{A288116A-EBC3-429B-BBA6-523A0FA3A0BC}" type="presParOf" srcId="{4A62654A-CBE0-49DC-A593-0F78A5D87D23}" destId="{F75B0467-715B-475B-9612-A528CD78E752}" srcOrd="0" destOrd="0" presId="urn:microsoft.com/office/officeart/2005/8/layout/venn2"/>
    <dgm:cxn modelId="{D346B152-6FE4-443A-9036-119A0081A885}" type="presParOf" srcId="{4A62654A-CBE0-49DC-A593-0F78A5D87D23}" destId="{46379287-360C-4B75-BFDA-539EC9B8A2BB}" srcOrd="1" destOrd="0" presId="urn:microsoft.com/office/officeart/2005/8/layout/venn2"/>
    <dgm:cxn modelId="{4359507B-EB3B-4BD9-BADD-44C802951CE8}" type="presParOf" srcId="{ED3A4255-FEC9-4056-8E63-18F682BE5555}" destId="{0F5CAA43-ACEE-4C90-ABBB-D5C42E4A3F6B}" srcOrd="3" destOrd="0" presId="urn:microsoft.com/office/officeart/2005/8/layout/venn2"/>
    <dgm:cxn modelId="{45073AAE-094D-42DE-95CD-E573E6CBF52F}" type="presParOf" srcId="{0F5CAA43-ACEE-4C90-ABBB-D5C42E4A3F6B}" destId="{A4742EFC-AA76-49E4-B096-DB76ABFCAB54}" srcOrd="0" destOrd="0" presId="urn:microsoft.com/office/officeart/2005/8/layout/venn2"/>
    <dgm:cxn modelId="{FA855A8D-5105-4195-A2E4-F38256275CD8}" type="presParOf" srcId="{0F5CAA43-ACEE-4C90-ABBB-D5C42E4A3F6B}" destId="{C45F7D1B-405D-47EC-8AA5-D69D015FEFD8}" srcOrd="1" destOrd="0" presId="urn:microsoft.com/office/officeart/2005/8/layout/ven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A7E8A59-D8B2-4C63-8387-E14C13D6CD0F}" type="doc">
      <dgm:prSet loTypeId="urn:microsoft.com/office/officeart/2005/8/layout/cycle7" loCatId="cycle" qsTypeId="urn:microsoft.com/office/officeart/2005/8/quickstyle/simple3" qsCatId="simple" csTypeId="urn:microsoft.com/office/officeart/2005/8/colors/accent1_2" csCatId="accent1" phldr="1"/>
      <dgm:spPr/>
      <dgm:t>
        <a:bodyPr/>
        <a:lstStyle/>
        <a:p>
          <a:endParaRPr lang="en-US"/>
        </a:p>
      </dgm:t>
    </dgm:pt>
    <dgm:pt modelId="{48604397-01FA-4253-9C3E-0A27DC343CC5}">
      <dgm:prSet phldrT="[Text]"/>
      <dgm:spPr/>
      <dgm:t>
        <a:bodyPr/>
        <a:lstStyle/>
        <a:p>
          <a:r>
            <a:rPr lang="en-US" b="1"/>
            <a:t>Exploration</a:t>
          </a:r>
        </a:p>
      </dgm:t>
    </dgm:pt>
    <dgm:pt modelId="{FCDB583F-7939-4144-9697-67A26FA7DE1E}" type="parTrans" cxnId="{C471A807-6A35-49D6-968D-B71E73780383}">
      <dgm:prSet/>
      <dgm:spPr/>
      <dgm:t>
        <a:bodyPr/>
        <a:lstStyle/>
        <a:p>
          <a:endParaRPr lang="en-US"/>
        </a:p>
      </dgm:t>
    </dgm:pt>
    <dgm:pt modelId="{4A002C67-53D2-4D44-AFC8-E795160B3BEE}" type="sibTrans" cxnId="{C471A807-6A35-49D6-968D-B71E73780383}">
      <dgm:prSet/>
      <dgm:spPr>
        <a:ln w="19050">
          <a:solidFill>
            <a:schemeClr val="tx2"/>
          </a:solidFill>
        </a:ln>
      </dgm:spPr>
      <dgm:t>
        <a:bodyPr/>
        <a:lstStyle/>
        <a:p>
          <a:endParaRPr lang="en-US"/>
        </a:p>
      </dgm:t>
    </dgm:pt>
    <dgm:pt modelId="{0A8458F5-7227-40F7-A2CC-9907ABAF741E}">
      <dgm:prSet phldrT="[Text]"/>
      <dgm:spPr/>
      <dgm:t>
        <a:bodyPr/>
        <a:lstStyle/>
        <a:p>
          <a:r>
            <a:rPr lang="en-US" b="1"/>
            <a:t>Installation</a:t>
          </a:r>
        </a:p>
      </dgm:t>
    </dgm:pt>
    <dgm:pt modelId="{A9CA81E5-0D48-4FC7-912B-4E021D58C764}" type="parTrans" cxnId="{2C76C633-A23C-4492-AFB4-22363E012CD6}">
      <dgm:prSet/>
      <dgm:spPr/>
      <dgm:t>
        <a:bodyPr/>
        <a:lstStyle/>
        <a:p>
          <a:endParaRPr lang="en-US"/>
        </a:p>
      </dgm:t>
    </dgm:pt>
    <dgm:pt modelId="{3977629F-1C32-4E02-9F67-F5EE0D96C3DD}" type="sibTrans" cxnId="{2C76C633-A23C-4492-AFB4-22363E012CD6}">
      <dgm:prSet/>
      <dgm:spPr>
        <a:ln w="19050">
          <a:solidFill>
            <a:schemeClr val="tx2"/>
          </a:solidFill>
        </a:ln>
      </dgm:spPr>
      <dgm:t>
        <a:bodyPr/>
        <a:lstStyle/>
        <a:p>
          <a:endParaRPr lang="en-US"/>
        </a:p>
      </dgm:t>
    </dgm:pt>
    <dgm:pt modelId="{63CC150A-8B18-4EDF-A1C6-F946C86FF3A6}">
      <dgm:prSet phldrT="[Text]"/>
      <dgm:spPr/>
      <dgm:t>
        <a:bodyPr/>
        <a:lstStyle/>
        <a:p>
          <a:r>
            <a:rPr lang="en-US" b="1"/>
            <a:t>Full Implemenation</a:t>
          </a:r>
        </a:p>
      </dgm:t>
    </dgm:pt>
    <dgm:pt modelId="{9E9684CB-0C28-4785-9FBA-FC45972C4736}" type="parTrans" cxnId="{DEFF8709-6EB1-43E9-BC72-3CF4B716D63E}">
      <dgm:prSet/>
      <dgm:spPr/>
      <dgm:t>
        <a:bodyPr/>
        <a:lstStyle/>
        <a:p>
          <a:endParaRPr lang="en-US"/>
        </a:p>
      </dgm:t>
    </dgm:pt>
    <dgm:pt modelId="{1B22A3DB-21E4-4CCA-B587-3BED7B870488}" type="sibTrans" cxnId="{DEFF8709-6EB1-43E9-BC72-3CF4B716D63E}">
      <dgm:prSet/>
      <dgm:spPr>
        <a:ln w="19050">
          <a:solidFill>
            <a:schemeClr val="tx2"/>
          </a:solidFill>
        </a:ln>
      </dgm:spPr>
      <dgm:t>
        <a:bodyPr/>
        <a:lstStyle/>
        <a:p>
          <a:endParaRPr lang="en-US"/>
        </a:p>
      </dgm:t>
    </dgm:pt>
    <dgm:pt modelId="{17C4C60D-BBFE-4C95-ADCE-3E70A192C4C2}">
      <dgm:prSet/>
      <dgm:spPr/>
      <dgm:t>
        <a:bodyPr/>
        <a:lstStyle/>
        <a:p>
          <a:r>
            <a:rPr lang="en-US" b="1"/>
            <a:t>Initial Implemenation</a:t>
          </a:r>
        </a:p>
      </dgm:t>
    </dgm:pt>
    <dgm:pt modelId="{61212FB1-4319-4653-9E52-B14C057C8BD2}" type="parTrans" cxnId="{1EA8D7A7-2B8F-4944-B3F3-C4AAFD724055}">
      <dgm:prSet/>
      <dgm:spPr/>
      <dgm:t>
        <a:bodyPr/>
        <a:lstStyle/>
        <a:p>
          <a:endParaRPr lang="en-US"/>
        </a:p>
      </dgm:t>
    </dgm:pt>
    <dgm:pt modelId="{8739C9DA-62D6-44BD-8BE0-A7A144E7E5A0}" type="sibTrans" cxnId="{1EA8D7A7-2B8F-4944-B3F3-C4AAFD724055}">
      <dgm:prSet/>
      <dgm:spPr>
        <a:ln w="19050">
          <a:solidFill>
            <a:schemeClr val="tx2"/>
          </a:solidFill>
        </a:ln>
      </dgm:spPr>
      <dgm:t>
        <a:bodyPr/>
        <a:lstStyle/>
        <a:p>
          <a:endParaRPr lang="en-US"/>
        </a:p>
      </dgm:t>
    </dgm:pt>
    <dgm:pt modelId="{0785B741-D83D-4EEC-9821-D3879FB2C3A5}" type="pres">
      <dgm:prSet presAssocID="{0A7E8A59-D8B2-4C63-8387-E14C13D6CD0F}" presName="Name0" presStyleCnt="0">
        <dgm:presLayoutVars>
          <dgm:dir/>
          <dgm:resizeHandles val="exact"/>
        </dgm:presLayoutVars>
      </dgm:prSet>
      <dgm:spPr/>
      <dgm:t>
        <a:bodyPr/>
        <a:lstStyle/>
        <a:p>
          <a:endParaRPr lang="en-US"/>
        </a:p>
      </dgm:t>
    </dgm:pt>
    <dgm:pt modelId="{70530F0E-90AE-47F5-AB25-EAC43974C050}" type="pres">
      <dgm:prSet presAssocID="{48604397-01FA-4253-9C3E-0A27DC343CC5}" presName="node" presStyleLbl="node1" presStyleIdx="0" presStyleCnt="4">
        <dgm:presLayoutVars>
          <dgm:bulletEnabled val="1"/>
        </dgm:presLayoutVars>
      </dgm:prSet>
      <dgm:spPr/>
      <dgm:t>
        <a:bodyPr/>
        <a:lstStyle/>
        <a:p>
          <a:endParaRPr lang="en-US"/>
        </a:p>
      </dgm:t>
    </dgm:pt>
    <dgm:pt modelId="{6EEDBACE-5FBC-4D9F-85EE-F786BE616B28}" type="pres">
      <dgm:prSet presAssocID="{4A002C67-53D2-4D44-AFC8-E795160B3BEE}" presName="sibTrans" presStyleLbl="sibTrans2D1" presStyleIdx="0" presStyleCnt="4"/>
      <dgm:spPr/>
      <dgm:t>
        <a:bodyPr/>
        <a:lstStyle/>
        <a:p>
          <a:endParaRPr lang="en-US"/>
        </a:p>
      </dgm:t>
    </dgm:pt>
    <dgm:pt modelId="{6A763385-1FDC-43A3-B546-4CF2405AC8C6}" type="pres">
      <dgm:prSet presAssocID="{4A002C67-53D2-4D44-AFC8-E795160B3BEE}" presName="connectorText" presStyleLbl="sibTrans2D1" presStyleIdx="0" presStyleCnt="4"/>
      <dgm:spPr/>
      <dgm:t>
        <a:bodyPr/>
        <a:lstStyle/>
        <a:p>
          <a:endParaRPr lang="en-US"/>
        </a:p>
      </dgm:t>
    </dgm:pt>
    <dgm:pt modelId="{8850AF87-A174-401C-88A7-8F47F83BCB81}" type="pres">
      <dgm:prSet presAssocID="{0A8458F5-7227-40F7-A2CC-9907ABAF741E}" presName="node" presStyleLbl="node1" presStyleIdx="1" presStyleCnt="4" custRadScaleRad="131989">
        <dgm:presLayoutVars>
          <dgm:bulletEnabled val="1"/>
        </dgm:presLayoutVars>
      </dgm:prSet>
      <dgm:spPr/>
      <dgm:t>
        <a:bodyPr/>
        <a:lstStyle/>
        <a:p>
          <a:endParaRPr lang="en-US"/>
        </a:p>
      </dgm:t>
    </dgm:pt>
    <dgm:pt modelId="{99F91F3F-47F1-47DE-8893-67DACBB23BA2}" type="pres">
      <dgm:prSet presAssocID="{3977629F-1C32-4E02-9F67-F5EE0D96C3DD}" presName="sibTrans" presStyleLbl="sibTrans2D1" presStyleIdx="1" presStyleCnt="4"/>
      <dgm:spPr/>
      <dgm:t>
        <a:bodyPr/>
        <a:lstStyle/>
        <a:p>
          <a:endParaRPr lang="en-US"/>
        </a:p>
      </dgm:t>
    </dgm:pt>
    <dgm:pt modelId="{B1D87A48-9400-421A-B756-3C13F52E167E}" type="pres">
      <dgm:prSet presAssocID="{3977629F-1C32-4E02-9F67-F5EE0D96C3DD}" presName="connectorText" presStyleLbl="sibTrans2D1" presStyleIdx="1" presStyleCnt="4"/>
      <dgm:spPr/>
      <dgm:t>
        <a:bodyPr/>
        <a:lstStyle/>
        <a:p>
          <a:endParaRPr lang="en-US"/>
        </a:p>
      </dgm:t>
    </dgm:pt>
    <dgm:pt modelId="{2A99A7D3-D1B7-46FA-965D-42D93A79D302}" type="pres">
      <dgm:prSet presAssocID="{17C4C60D-BBFE-4C95-ADCE-3E70A192C4C2}" presName="node" presStyleLbl="node1" presStyleIdx="2" presStyleCnt="4">
        <dgm:presLayoutVars>
          <dgm:bulletEnabled val="1"/>
        </dgm:presLayoutVars>
      </dgm:prSet>
      <dgm:spPr/>
      <dgm:t>
        <a:bodyPr/>
        <a:lstStyle/>
        <a:p>
          <a:endParaRPr lang="en-US"/>
        </a:p>
      </dgm:t>
    </dgm:pt>
    <dgm:pt modelId="{66CF8497-B748-41FA-A24D-DD8BF53A41F6}" type="pres">
      <dgm:prSet presAssocID="{8739C9DA-62D6-44BD-8BE0-A7A144E7E5A0}" presName="sibTrans" presStyleLbl="sibTrans2D1" presStyleIdx="2" presStyleCnt="4"/>
      <dgm:spPr/>
      <dgm:t>
        <a:bodyPr/>
        <a:lstStyle/>
        <a:p>
          <a:endParaRPr lang="en-US"/>
        </a:p>
      </dgm:t>
    </dgm:pt>
    <dgm:pt modelId="{1E47823C-177A-44EE-8AA6-2C946CA1D1F3}" type="pres">
      <dgm:prSet presAssocID="{8739C9DA-62D6-44BD-8BE0-A7A144E7E5A0}" presName="connectorText" presStyleLbl="sibTrans2D1" presStyleIdx="2" presStyleCnt="4"/>
      <dgm:spPr/>
      <dgm:t>
        <a:bodyPr/>
        <a:lstStyle/>
        <a:p>
          <a:endParaRPr lang="en-US"/>
        </a:p>
      </dgm:t>
    </dgm:pt>
    <dgm:pt modelId="{FF8CA4A0-AA33-41C0-9A17-1211139D706E}" type="pres">
      <dgm:prSet presAssocID="{63CC150A-8B18-4EDF-A1C6-F946C86FF3A6}" presName="node" presStyleLbl="node1" presStyleIdx="3" presStyleCnt="4" custRadScaleRad="127068">
        <dgm:presLayoutVars>
          <dgm:bulletEnabled val="1"/>
        </dgm:presLayoutVars>
      </dgm:prSet>
      <dgm:spPr/>
      <dgm:t>
        <a:bodyPr/>
        <a:lstStyle/>
        <a:p>
          <a:endParaRPr lang="en-US"/>
        </a:p>
      </dgm:t>
    </dgm:pt>
    <dgm:pt modelId="{86F66AFA-1022-41B2-9FD2-0C6FFEAB4EE0}" type="pres">
      <dgm:prSet presAssocID="{1B22A3DB-21E4-4CCA-B587-3BED7B870488}" presName="sibTrans" presStyleLbl="sibTrans2D1" presStyleIdx="3" presStyleCnt="4"/>
      <dgm:spPr/>
      <dgm:t>
        <a:bodyPr/>
        <a:lstStyle/>
        <a:p>
          <a:endParaRPr lang="en-US"/>
        </a:p>
      </dgm:t>
    </dgm:pt>
    <dgm:pt modelId="{C3A1A27A-4C3E-43CC-A949-1DAF53B2C1A3}" type="pres">
      <dgm:prSet presAssocID="{1B22A3DB-21E4-4CCA-B587-3BED7B870488}" presName="connectorText" presStyleLbl="sibTrans2D1" presStyleIdx="3" presStyleCnt="4"/>
      <dgm:spPr/>
      <dgm:t>
        <a:bodyPr/>
        <a:lstStyle/>
        <a:p>
          <a:endParaRPr lang="en-US"/>
        </a:p>
      </dgm:t>
    </dgm:pt>
  </dgm:ptLst>
  <dgm:cxnLst>
    <dgm:cxn modelId="{23E20670-3BA6-4E2D-AAB8-14C230C95FBB}" type="presOf" srcId="{1B22A3DB-21E4-4CCA-B587-3BED7B870488}" destId="{86F66AFA-1022-41B2-9FD2-0C6FFEAB4EE0}" srcOrd="0" destOrd="0" presId="urn:microsoft.com/office/officeart/2005/8/layout/cycle7"/>
    <dgm:cxn modelId="{4637EBFC-FF91-4B18-B84B-B00EAF821C00}" type="presOf" srcId="{8739C9DA-62D6-44BD-8BE0-A7A144E7E5A0}" destId="{1E47823C-177A-44EE-8AA6-2C946CA1D1F3}" srcOrd="1" destOrd="0" presId="urn:microsoft.com/office/officeart/2005/8/layout/cycle7"/>
    <dgm:cxn modelId="{66918F92-AB14-4103-9C8F-E76E60A77719}" type="presOf" srcId="{3977629F-1C32-4E02-9F67-F5EE0D96C3DD}" destId="{99F91F3F-47F1-47DE-8893-67DACBB23BA2}" srcOrd="0" destOrd="0" presId="urn:microsoft.com/office/officeart/2005/8/layout/cycle7"/>
    <dgm:cxn modelId="{6190608A-7EA8-48BC-80D8-DBA20E59DE9B}" type="presOf" srcId="{0A7E8A59-D8B2-4C63-8387-E14C13D6CD0F}" destId="{0785B741-D83D-4EEC-9821-D3879FB2C3A5}" srcOrd="0" destOrd="0" presId="urn:microsoft.com/office/officeart/2005/8/layout/cycle7"/>
    <dgm:cxn modelId="{CFBD9214-3AF9-46C6-AEA9-D72A7DED1254}" type="presOf" srcId="{8739C9DA-62D6-44BD-8BE0-A7A144E7E5A0}" destId="{66CF8497-B748-41FA-A24D-DD8BF53A41F6}" srcOrd="0" destOrd="0" presId="urn:microsoft.com/office/officeart/2005/8/layout/cycle7"/>
    <dgm:cxn modelId="{D105A019-830D-40C2-BD07-A54ECF12FD83}" type="presOf" srcId="{17C4C60D-BBFE-4C95-ADCE-3E70A192C4C2}" destId="{2A99A7D3-D1B7-46FA-965D-42D93A79D302}" srcOrd="0" destOrd="0" presId="urn:microsoft.com/office/officeart/2005/8/layout/cycle7"/>
    <dgm:cxn modelId="{70F98AFE-FA08-48D7-AC50-A14813A91FD1}" type="presOf" srcId="{4A002C67-53D2-4D44-AFC8-E795160B3BEE}" destId="{6A763385-1FDC-43A3-B546-4CF2405AC8C6}" srcOrd="1" destOrd="0" presId="urn:microsoft.com/office/officeart/2005/8/layout/cycle7"/>
    <dgm:cxn modelId="{C471A807-6A35-49D6-968D-B71E73780383}" srcId="{0A7E8A59-D8B2-4C63-8387-E14C13D6CD0F}" destId="{48604397-01FA-4253-9C3E-0A27DC343CC5}" srcOrd="0" destOrd="0" parTransId="{FCDB583F-7939-4144-9697-67A26FA7DE1E}" sibTransId="{4A002C67-53D2-4D44-AFC8-E795160B3BEE}"/>
    <dgm:cxn modelId="{8C53BB9E-D3EA-48F5-B82B-5D7769683B59}" type="presOf" srcId="{4A002C67-53D2-4D44-AFC8-E795160B3BEE}" destId="{6EEDBACE-5FBC-4D9F-85EE-F786BE616B28}" srcOrd="0" destOrd="0" presId="urn:microsoft.com/office/officeart/2005/8/layout/cycle7"/>
    <dgm:cxn modelId="{DEFF8709-6EB1-43E9-BC72-3CF4B716D63E}" srcId="{0A7E8A59-D8B2-4C63-8387-E14C13D6CD0F}" destId="{63CC150A-8B18-4EDF-A1C6-F946C86FF3A6}" srcOrd="3" destOrd="0" parTransId="{9E9684CB-0C28-4785-9FBA-FC45972C4736}" sibTransId="{1B22A3DB-21E4-4CCA-B587-3BED7B870488}"/>
    <dgm:cxn modelId="{2C76C633-A23C-4492-AFB4-22363E012CD6}" srcId="{0A7E8A59-D8B2-4C63-8387-E14C13D6CD0F}" destId="{0A8458F5-7227-40F7-A2CC-9907ABAF741E}" srcOrd="1" destOrd="0" parTransId="{A9CA81E5-0D48-4FC7-912B-4E021D58C764}" sibTransId="{3977629F-1C32-4E02-9F67-F5EE0D96C3DD}"/>
    <dgm:cxn modelId="{AE45ACF8-F886-48F4-93DB-74F628F16E05}" type="presOf" srcId="{63CC150A-8B18-4EDF-A1C6-F946C86FF3A6}" destId="{FF8CA4A0-AA33-41C0-9A17-1211139D706E}" srcOrd="0" destOrd="0" presId="urn:microsoft.com/office/officeart/2005/8/layout/cycle7"/>
    <dgm:cxn modelId="{1EA8D7A7-2B8F-4944-B3F3-C4AAFD724055}" srcId="{0A7E8A59-D8B2-4C63-8387-E14C13D6CD0F}" destId="{17C4C60D-BBFE-4C95-ADCE-3E70A192C4C2}" srcOrd="2" destOrd="0" parTransId="{61212FB1-4319-4653-9E52-B14C057C8BD2}" sibTransId="{8739C9DA-62D6-44BD-8BE0-A7A144E7E5A0}"/>
    <dgm:cxn modelId="{CF6AEA60-C3A8-49C1-8A4B-B5165EF28CA1}" type="presOf" srcId="{3977629F-1C32-4E02-9F67-F5EE0D96C3DD}" destId="{B1D87A48-9400-421A-B756-3C13F52E167E}" srcOrd="1" destOrd="0" presId="urn:microsoft.com/office/officeart/2005/8/layout/cycle7"/>
    <dgm:cxn modelId="{4009B5DB-3141-44BD-811B-AD37A8F30AF4}" type="presOf" srcId="{0A8458F5-7227-40F7-A2CC-9907ABAF741E}" destId="{8850AF87-A174-401C-88A7-8F47F83BCB81}" srcOrd="0" destOrd="0" presId="urn:microsoft.com/office/officeart/2005/8/layout/cycle7"/>
    <dgm:cxn modelId="{E5143AD6-9DCF-4C85-9388-1EEAF59CBE62}" type="presOf" srcId="{48604397-01FA-4253-9C3E-0A27DC343CC5}" destId="{70530F0E-90AE-47F5-AB25-EAC43974C050}" srcOrd="0" destOrd="0" presId="urn:microsoft.com/office/officeart/2005/8/layout/cycle7"/>
    <dgm:cxn modelId="{858EB60D-DBCD-496C-8A58-85B27383BF9C}" type="presOf" srcId="{1B22A3DB-21E4-4CCA-B587-3BED7B870488}" destId="{C3A1A27A-4C3E-43CC-A949-1DAF53B2C1A3}" srcOrd="1" destOrd="0" presId="urn:microsoft.com/office/officeart/2005/8/layout/cycle7"/>
    <dgm:cxn modelId="{32DB7908-6057-43EF-9B97-3156B0431D7F}" type="presParOf" srcId="{0785B741-D83D-4EEC-9821-D3879FB2C3A5}" destId="{70530F0E-90AE-47F5-AB25-EAC43974C050}" srcOrd="0" destOrd="0" presId="urn:microsoft.com/office/officeart/2005/8/layout/cycle7"/>
    <dgm:cxn modelId="{6F0F65C5-6D38-4E0C-B098-BCDD4D47ED1D}" type="presParOf" srcId="{0785B741-D83D-4EEC-9821-D3879FB2C3A5}" destId="{6EEDBACE-5FBC-4D9F-85EE-F786BE616B28}" srcOrd="1" destOrd="0" presId="urn:microsoft.com/office/officeart/2005/8/layout/cycle7"/>
    <dgm:cxn modelId="{2755DFB1-0CAB-4BAB-93E6-EC13CA516EDD}" type="presParOf" srcId="{6EEDBACE-5FBC-4D9F-85EE-F786BE616B28}" destId="{6A763385-1FDC-43A3-B546-4CF2405AC8C6}" srcOrd="0" destOrd="0" presId="urn:microsoft.com/office/officeart/2005/8/layout/cycle7"/>
    <dgm:cxn modelId="{493B5301-B723-4684-8DB4-68774B257355}" type="presParOf" srcId="{0785B741-D83D-4EEC-9821-D3879FB2C3A5}" destId="{8850AF87-A174-401C-88A7-8F47F83BCB81}" srcOrd="2" destOrd="0" presId="urn:microsoft.com/office/officeart/2005/8/layout/cycle7"/>
    <dgm:cxn modelId="{1DB4C30A-F4BE-45A1-BE6A-034018932F24}" type="presParOf" srcId="{0785B741-D83D-4EEC-9821-D3879FB2C3A5}" destId="{99F91F3F-47F1-47DE-8893-67DACBB23BA2}" srcOrd="3" destOrd="0" presId="urn:microsoft.com/office/officeart/2005/8/layout/cycle7"/>
    <dgm:cxn modelId="{D4D8FB7E-8947-4B66-815F-0DF039699E49}" type="presParOf" srcId="{99F91F3F-47F1-47DE-8893-67DACBB23BA2}" destId="{B1D87A48-9400-421A-B756-3C13F52E167E}" srcOrd="0" destOrd="0" presId="urn:microsoft.com/office/officeart/2005/8/layout/cycle7"/>
    <dgm:cxn modelId="{C4083203-7AAA-4B5F-8CD4-B7290DA54727}" type="presParOf" srcId="{0785B741-D83D-4EEC-9821-D3879FB2C3A5}" destId="{2A99A7D3-D1B7-46FA-965D-42D93A79D302}" srcOrd="4" destOrd="0" presId="urn:microsoft.com/office/officeart/2005/8/layout/cycle7"/>
    <dgm:cxn modelId="{20807367-1653-4863-9305-FA645C9BAC48}" type="presParOf" srcId="{0785B741-D83D-4EEC-9821-D3879FB2C3A5}" destId="{66CF8497-B748-41FA-A24D-DD8BF53A41F6}" srcOrd="5" destOrd="0" presId="urn:microsoft.com/office/officeart/2005/8/layout/cycle7"/>
    <dgm:cxn modelId="{836E36D3-7086-4433-BD9B-A39EF9856B96}" type="presParOf" srcId="{66CF8497-B748-41FA-A24D-DD8BF53A41F6}" destId="{1E47823C-177A-44EE-8AA6-2C946CA1D1F3}" srcOrd="0" destOrd="0" presId="urn:microsoft.com/office/officeart/2005/8/layout/cycle7"/>
    <dgm:cxn modelId="{B399CD65-AA5B-49E2-A496-3DF534B370AF}" type="presParOf" srcId="{0785B741-D83D-4EEC-9821-D3879FB2C3A5}" destId="{FF8CA4A0-AA33-41C0-9A17-1211139D706E}" srcOrd="6" destOrd="0" presId="urn:microsoft.com/office/officeart/2005/8/layout/cycle7"/>
    <dgm:cxn modelId="{9CB95F02-2899-48E1-870E-F26F0024C712}" type="presParOf" srcId="{0785B741-D83D-4EEC-9821-D3879FB2C3A5}" destId="{86F66AFA-1022-41B2-9FD2-0C6FFEAB4EE0}" srcOrd="7" destOrd="0" presId="urn:microsoft.com/office/officeart/2005/8/layout/cycle7"/>
    <dgm:cxn modelId="{8D3BD336-7501-49A1-A7EF-14A2FFC9F4C3}" type="presParOf" srcId="{86F66AFA-1022-41B2-9FD2-0C6FFEAB4EE0}" destId="{C3A1A27A-4C3E-43CC-A949-1DAF53B2C1A3}" srcOrd="0" destOrd="0" presId="urn:microsoft.com/office/officeart/2005/8/layout/cycle7"/>
  </dgm:cxnLst>
  <dgm:bg>
    <a:solidFill>
      <a:schemeClr val="accent1">
        <a:lumMod val="20000"/>
        <a:lumOff val="80000"/>
      </a:schemeClr>
    </a:solidFill>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62E24E-6EFA-4EF9-8692-BAA911929882}">
      <dsp:nvSpPr>
        <dsp:cNvPr id="0" name=""/>
        <dsp:cNvSpPr/>
      </dsp:nvSpPr>
      <dsp:spPr>
        <a:xfrm>
          <a:off x="219075" y="133103"/>
          <a:ext cx="3143250" cy="2749600"/>
        </a:xfrm>
        <a:prstGeom prst="ellipse">
          <a:avLst/>
        </a:prstGeom>
        <a:solidFill>
          <a:schemeClr val="accent1">
            <a:lumMod val="20000"/>
            <a:lumOff val="80000"/>
          </a:schemeClr>
        </a:solidFill>
        <a:ln w="25400" cap="flat" cmpd="sng" algn="ctr">
          <a:solidFill>
            <a:schemeClr val="accent1">
              <a:lumMod val="40000"/>
              <a:lumOff val="60000"/>
            </a:schemeClr>
          </a:solidFill>
          <a:prstDash val="solid"/>
        </a:ln>
        <a:effectLst>
          <a:glow rad="2286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LEAs</a:t>
          </a:r>
        </a:p>
      </dsp:txBody>
      <dsp:txXfrm>
        <a:off x="1351273" y="270583"/>
        <a:ext cx="878852" cy="412440"/>
      </dsp:txXfrm>
    </dsp:sp>
    <dsp:sp modelId="{9FFC1120-C2C2-4948-A168-7C9AC38D90F4}">
      <dsp:nvSpPr>
        <dsp:cNvPr id="0" name=""/>
        <dsp:cNvSpPr/>
      </dsp:nvSpPr>
      <dsp:spPr>
        <a:xfrm>
          <a:off x="476243" y="768714"/>
          <a:ext cx="2628912" cy="2204386"/>
        </a:xfrm>
        <a:prstGeom prst="ellipse">
          <a:avLst/>
        </a:prstGeom>
        <a:solidFill>
          <a:schemeClr val="accent3">
            <a:lumMod val="20000"/>
            <a:lumOff val="80000"/>
          </a:schemeClr>
        </a:solidFill>
        <a:ln w="25400" cap="flat" cmpd="sng" algn="ctr">
          <a:solidFill>
            <a:schemeClr val="accent3">
              <a:lumMod val="40000"/>
              <a:lumOff val="60000"/>
            </a:schemeClr>
          </a:solidFill>
          <a:prstDash val="solid"/>
        </a:ln>
        <a:effectLst>
          <a:glow rad="139700">
            <a:schemeClr val="accent3">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n-US" sz="1050" b="1" kern="1200">
              <a:solidFill>
                <a:schemeClr val="tx1"/>
              </a:solidFill>
            </a:rPr>
            <a:t>University</a:t>
          </a:r>
        </a:p>
      </dsp:txBody>
      <dsp:txXfrm>
        <a:off x="1331297" y="900977"/>
        <a:ext cx="918804" cy="396789"/>
      </dsp:txXfrm>
    </dsp:sp>
    <dsp:sp modelId="{F75B0467-715B-475B-9612-A528CD78E752}">
      <dsp:nvSpPr>
        <dsp:cNvPr id="0" name=""/>
        <dsp:cNvSpPr/>
      </dsp:nvSpPr>
      <dsp:spPr>
        <a:xfrm>
          <a:off x="895346" y="1329885"/>
          <a:ext cx="1790706" cy="1575236"/>
        </a:xfrm>
        <a:prstGeom prst="ellipse">
          <a:avLst/>
        </a:prstGeom>
        <a:solidFill>
          <a:schemeClr val="accent6">
            <a:lumMod val="20000"/>
            <a:lumOff val="80000"/>
          </a:schemeClr>
        </a:solidFill>
        <a:ln w="25400" cap="flat" cmpd="sng" algn="ctr">
          <a:solidFill>
            <a:schemeClr val="accent6">
              <a:lumMod val="40000"/>
              <a:lumOff val="60000"/>
            </a:schemeClr>
          </a:solidFill>
          <a:prstDash val="solid"/>
        </a:ln>
        <a:effectLst>
          <a:glow rad="101600">
            <a:schemeClr val="accent6">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State</a:t>
          </a:r>
        </a:p>
      </dsp:txBody>
      <dsp:txXfrm>
        <a:off x="1373465" y="1448027"/>
        <a:ext cx="834469" cy="354428"/>
      </dsp:txXfrm>
    </dsp:sp>
    <dsp:sp modelId="{A4742EFC-AA76-49E4-B096-DB76ABFCAB54}">
      <dsp:nvSpPr>
        <dsp:cNvPr id="0" name=""/>
        <dsp:cNvSpPr/>
      </dsp:nvSpPr>
      <dsp:spPr>
        <a:xfrm>
          <a:off x="1219200" y="1934836"/>
          <a:ext cx="1143000" cy="974933"/>
        </a:xfrm>
        <a:prstGeom prst="ellipse">
          <a:avLst/>
        </a:prstGeom>
        <a:solidFill>
          <a:schemeClr val="accent2">
            <a:lumMod val="20000"/>
            <a:lumOff val="80000"/>
          </a:schemeClr>
        </a:solidFill>
        <a:ln w="25400" cap="flat" cmpd="sng" algn="ctr">
          <a:solidFill>
            <a:schemeClr val="accent2">
              <a:lumMod val="40000"/>
              <a:lumOff val="60000"/>
            </a:schemeClr>
          </a:solidFill>
          <a:prstDash val="solid"/>
        </a:ln>
        <a:effectLst>
          <a:glow rad="101600">
            <a:schemeClr val="accent2">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Federal</a:t>
          </a:r>
          <a:r>
            <a:rPr lang="en-US" sz="1100" kern="1200"/>
            <a:t> </a:t>
          </a:r>
        </a:p>
      </dsp:txBody>
      <dsp:txXfrm>
        <a:off x="1386588" y="2178570"/>
        <a:ext cx="808223" cy="4874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530F0E-90AE-47F5-AB25-EAC43974C050}">
      <dsp:nvSpPr>
        <dsp:cNvPr id="0" name=""/>
        <dsp:cNvSpPr/>
      </dsp:nvSpPr>
      <dsp:spPr>
        <a:xfrm>
          <a:off x="2615956" y="1472"/>
          <a:ext cx="1721336" cy="86066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b="1" kern="1200"/>
            <a:t>Exploration</a:t>
          </a:r>
        </a:p>
      </dsp:txBody>
      <dsp:txXfrm>
        <a:off x="2641164" y="26680"/>
        <a:ext cx="1670920" cy="810252"/>
      </dsp:txXfrm>
    </dsp:sp>
    <dsp:sp modelId="{6EEDBACE-5FBC-4D9F-85EE-F786BE616B28}">
      <dsp:nvSpPr>
        <dsp:cNvPr id="0" name=""/>
        <dsp:cNvSpPr/>
      </dsp:nvSpPr>
      <dsp:spPr>
        <a:xfrm rot="2228939">
          <a:off x="4055055" y="1108273"/>
          <a:ext cx="1026459" cy="301233"/>
        </a:xfrm>
        <a:prstGeom prst="lef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w="19050">
          <a:solidFill>
            <a:schemeClr val="tx2"/>
          </a:solid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4145425" y="1168520"/>
        <a:ext cx="845719" cy="180739"/>
      </dsp:txXfrm>
    </dsp:sp>
    <dsp:sp modelId="{8850AF87-A174-401C-88A7-8F47F83BCB81}">
      <dsp:nvSpPr>
        <dsp:cNvPr id="0" name=""/>
        <dsp:cNvSpPr/>
      </dsp:nvSpPr>
      <dsp:spPr>
        <a:xfrm>
          <a:off x="4799276" y="1655640"/>
          <a:ext cx="1721336" cy="86066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b="1" kern="1200"/>
            <a:t>Installation</a:t>
          </a:r>
        </a:p>
      </dsp:txBody>
      <dsp:txXfrm>
        <a:off x="4824484" y="1680848"/>
        <a:ext cx="1670920" cy="810252"/>
      </dsp:txXfrm>
    </dsp:sp>
    <dsp:sp modelId="{99F91F3F-47F1-47DE-8893-67DACBB23BA2}">
      <dsp:nvSpPr>
        <dsp:cNvPr id="0" name=""/>
        <dsp:cNvSpPr/>
      </dsp:nvSpPr>
      <dsp:spPr>
        <a:xfrm rot="8571061">
          <a:off x="4055055" y="2762442"/>
          <a:ext cx="1026459" cy="301233"/>
        </a:xfrm>
        <a:prstGeom prst="lef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w="19050">
          <a:solidFill>
            <a:schemeClr val="tx2"/>
          </a:solid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10800000">
        <a:off x="4145425" y="2822689"/>
        <a:ext cx="845719" cy="180739"/>
      </dsp:txXfrm>
    </dsp:sp>
    <dsp:sp modelId="{2A99A7D3-D1B7-46FA-965D-42D93A79D302}">
      <dsp:nvSpPr>
        <dsp:cNvPr id="0" name=""/>
        <dsp:cNvSpPr/>
      </dsp:nvSpPr>
      <dsp:spPr>
        <a:xfrm>
          <a:off x="2615956" y="3309809"/>
          <a:ext cx="1721336" cy="86066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b="1" kern="1200"/>
            <a:t>Initial Implemenation</a:t>
          </a:r>
        </a:p>
      </dsp:txBody>
      <dsp:txXfrm>
        <a:off x="2641164" y="3335017"/>
        <a:ext cx="1670920" cy="810252"/>
      </dsp:txXfrm>
    </dsp:sp>
    <dsp:sp modelId="{66CF8497-B748-41FA-A24D-DD8BF53A41F6}">
      <dsp:nvSpPr>
        <dsp:cNvPr id="0" name=""/>
        <dsp:cNvSpPr/>
      </dsp:nvSpPr>
      <dsp:spPr>
        <a:xfrm rot="13092123">
          <a:off x="1912436" y="2762442"/>
          <a:ext cx="1026459" cy="301233"/>
        </a:xfrm>
        <a:prstGeom prst="lef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w="19050">
          <a:solidFill>
            <a:schemeClr val="tx2"/>
          </a:solid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10800000">
        <a:off x="2002806" y="2822689"/>
        <a:ext cx="845719" cy="180739"/>
      </dsp:txXfrm>
    </dsp:sp>
    <dsp:sp modelId="{FF8CA4A0-AA33-41C0-9A17-1211139D706E}">
      <dsp:nvSpPr>
        <dsp:cNvPr id="0" name=""/>
        <dsp:cNvSpPr/>
      </dsp:nvSpPr>
      <dsp:spPr>
        <a:xfrm>
          <a:off x="514038" y="1655640"/>
          <a:ext cx="1721336" cy="86066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b="1" kern="1200"/>
            <a:t>Full Implemenation</a:t>
          </a:r>
        </a:p>
      </dsp:txBody>
      <dsp:txXfrm>
        <a:off x="539246" y="1680848"/>
        <a:ext cx="1670920" cy="810252"/>
      </dsp:txXfrm>
    </dsp:sp>
    <dsp:sp modelId="{86F66AFA-1022-41B2-9FD2-0C6FFEAB4EE0}">
      <dsp:nvSpPr>
        <dsp:cNvPr id="0" name=""/>
        <dsp:cNvSpPr/>
      </dsp:nvSpPr>
      <dsp:spPr>
        <a:xfrm rot="19307877">
          <a:off x="1912436" y="1108273"/>
          <a:ext cx="1026459" cy="301233"/>
        </a:xfrm>
        <a:prstGeom prst="lef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w="19050">
          <a:solidFill>
            <a:schemeClr val="tx2"/>
          </a:solid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2002806" y="1168520"/>
        <a:ext cx="845719" cy="180739"/>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2.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5481A-E104-C045-BF48-8DAC81A4D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1875</Words>
  <Characters>10693</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OSUMC</Company>
  <LinksUpToDate>false</LinksUpToDate>
  <CharactersWithSpaces>12543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Ohio State Wexner Medical Center</dc:creator>
  <cp:lastModifiedBy>Lindsay Morales</cp:lastModifiedBy>
  <cp:revision>2</cp:revision>
  <cp:lastPrinted>2016-07-29T22:12:00Z</cp:lastPrinted>
  <dcterms:created xsi:type="dcterms:W3CDTF">2016-08-05T19:35:00Z</dcterms:created>
  <dcterms:modified xsi:type="dcterms:W3CDTF">2016-08-05T19:35:00Z</dcterms:modified>
</cp:coreProperties>
</file>